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563F" w14:textId="08E125D3" w:rsidR="00174F1B" w:rsidRPr="001979BF" w:rsidRDefault="00583545" w:rsidP="004F7835">
      <w:pPr>
        <w:pStyle w:val="Title"/>
        <w:spacing w:before="0"/>
        <w:rPr>
          <w:sz w:val="32"/>
          <w:szCs w:val="32"/>
        </w:rPr>
      </w:pPr>
      <w:r w:rsidRPr="001979BF">
        <w:rPr>
          <w:sz w:val="32"/>
          <w:szCs w:val="32"/>
        </w:rPr>
        <w:t xml:space="preserve">Wisconsin JJDPA Audit </w:t>
      </w:r>
      <w:r w:rsidR="008C76E8" w:rsidRPr="001979BF">
        <w:rPr>
          <w:sz w:val="32"/>
          <w:szCs w:val="32"/>
        </w:rPr>
        <w:t>Process</w:t>
      </w:r>
    </w:p>
    <w:p w14:paraId="6CE608FD" w14:textId="0DE1AE17" w:rsidR="00583545" w:rsidRPr="001434A1" w:rsidRDefault="00583545" w:rsidP="00583545">
      <w:pPr>
        <w:rPr>
          <w:color w:val="1B587C" w:themeColor="accent3"/>
          <w:sz w:val="24"/>
          <w:szCs w:val="24"/>
        </w:rPr>
      </w:pPr>
      <w:r w:rsidRPr="001434A1">
        <w:rPr>
          <w:color w:val="1B587C" w:themeColor="accent3"/>
          <w:sz w:val="24"/>
          <w:szCs w:val="24"/>
        </w:rPr>
        <w:t xml:space="preserve">The Wisconsin Department of Justice (DOJ) is the designated state agency for ensuring compliance with the core requirements of the Juvenile Justice and Delinquency Prevention Act (JJDPA).  DOJ administers federal grant funds from the Office of Juvenile Justice and Delinquency Prevention (OJJDP) to units of local government and private nonprofit organizations to improve the state’s juvenile justice system.  </w:t>
      </w:r>
    </w:p>
    <w:p w14:paraId="4FF3C9B8" w14:textId="77777777" w:rsidR="00583545" w:rsidRPr="001434A1" w:rsidRDefault="00583545" w:rsidP="00583545">
      <w:pPr>
        <w:rPr>
          <w:color w:val="1B587C" w:themeColor="accent3"/>
          <w:sz w:val="24"/>
          <w:szCs w:val="24"/>
        </w:rPr>
      </w:pPr>
    </w:p>
    <w:p w14:paraId="568E82C4" w14:textId="7F6BBAE1" w:rsidR="00583545" w:rsidRPr="001434A1" w:rsidRDefault="00583545" w:rsidP="00583545">
      <w:pPr>
        <w:rPr>
          <w:color w:val="1B587C" w:themeColor="accent3"/>
          <w:sz w:val="24"/>
          <w:szCs w:val="24"/>
        </w:rPr>
      </w:pPr>
      <w:r w:rsidRPr="001434A1">
        <w:rPr>
          <w:color w:val="1B587C" w:themeColor="accent3"/>
          <w:sz w:val="24"/>
          <w:szCs w:val="24"/>
        </w:rPr>
        <w:t xml:space="preserve">Wisconsin’s eligibility to receive federal grant funds is dependent on demonstrating compliance with the following </w:t>
      </w:r>
      <w:r w:rsidRPr="001434A1">
        <w:rPr>
          <w:b/>
          <w:bCs/>
          <w:color w:val="1B587C" w:themeColor="accent3"/>
          <w:sz w:val="24"/>
          <w:szCs w:val="24"/>
          <w:u w:val="single"/>
        </w:rPr>
        <w:t>core requirements</w:t>
      </w:r>
      <w:r w:rsidRPr="001434A1">
        <w:rPr>
          <w:b/>
          <w:bCs/>
          <w:color w:val="1B587C" w:themeColor="accent3"/>
          <w:sz w:val="24"/>
          <w:szCs w:val="24"/>
        </w:rPr>
        <w:t xml:space="preserve">: </w:t>
      </w:r>
    </w:p>
    <w:p w14:paraId="62ED4BD0" w14:textId="77777777" w:rsidR="00113AB2" w:rsidRPr="001434A1" w:rsidRDefault="00113AB2" w:rsidP="00583545">
      <w:pPr>
        <w:rPr>
          <w:color w:val="1B587C" w:themeColor="accent3"/>
          <w:sz w:val="24"/>
          <w:szCs w:val="24"/>
        </w:rPr>
      </w:pPr>
    </w:p>
    <w:p w14:paraId="3605248D" w14:textId="569FF342" w:rsidR="00105139" w:rsidRPr="001434A1" w:rsidRDefault="00105139" w:rsidP="00105139">
      <w:pPr>
        <w:numPr>
          <w:ilvl w:val="0"/>
          <w:numId w:val="7"/>
        </w:numPr>
        <w:spacing w:before="0" w:after="0" w:line="256" w:lineRule="auto"/>
        <w:contextualSpacing/>
        <w:rPr>
          <w:color w:val="1B587C" w:themeColor="accent3"/>
          <w:kern w:val="0"/>
          <w:sz w:val="24"/>
          <w:szCs w:val="24"/>
        </w:rPr>
      </w:pPr>
      <w:r w:rsidRPr="001434A1">
        <w:rPr>
          <w:color w:val="1B587C" w:themeColor="accent3"/>
          <w:sz w:val="24"/>
          <w:szCs w:val="24"/>
        </w:rPr>
        <w:t>Deinstitutionalization of Status Offenders (DSO) Sect. 223(a)(11)(A) – not placing status offenders (truants, curfew violators, runaways, etc.)</w:t>
      </w:r>
      <w:r w:rsidR="00256B6A">
        <w:rPr>
          <w:color w:val="1B587C" w:themeColor="accent3"/>
          <w:sz w:val="24"/>
          <w:szCs w:val="24"/>
        </w:rPr>
        <w:t>, non-offenders (dependent, neglected, or abused), or unauthorized immigrants</w:t>
      </w:r>
      <w:r w:rsidRPr="001434A1">
        <w:rPr>
          <w:color w:val="1B587C" w:themeColor="accent3"/>
          <w:sz w:val="24"/>
          <w:szCs w:val="24"/>
        </w:rPr>
        <w:t xml:space="preserve"> in secure detention or correctional </w:t>
      </w:r>
      <w:r w:rsidR="00154B22">
        <w:rPr>
          <w:color w:val="1B587C" w:themeColor="accent3"/>
          <w:sz w:val="24"/>
          <w:szCs w:val="24"/>
        </w:rPr>
        <w:t>facilities</w:t>
      </w:r>
      <w:r w:rsidRPr="001434A1">
        <w:rPr>
          <w:color w:val="1B587C" w:themeColor="accent3"/>
          <w:sz w:val="24"/>
          <w:szCs w:val="24"/>
        </w:rPr>
        <w:t xml:space="preserve"> </w:t>
      </w:r>
    </w:p>
    <w:p w14:paraId="42D78914" w14:textId="77777777" w:rsidR="00B4785A" w:rsidRPr="001434A1" w:rsidRDefault="00B4785A" w:rsidP="00B4785A">
      <w:pPr>
        <w:spacing w:before="0" w:after="0" w:line="256" w:lineRule="auto"/>
        <w:ind w:left="720"/>
        <w:contextualSpacing/>
        <w:rPr>
          <w:color w:val="1B587C" w:themeColor="accent3"/>
          <w:kern w:val="0"/>
          <w:sz w:val="24"/>
          <w:szCs w:val="24"/>
        </w:rPr>
      </w:pPr>
    </w:p>
    <w:p w14:paraId="7E57F2BC" w14:textId="51440963" w:rsidR="00105139" w:rsidRPr="001434A1" w:rsidRDefault="00105139" w:rsidP="00105139">
      <w:pPr>
        <w:numPr>
          <w:ilvl w:val="0"/>
          <w:numId w:val="7"/>
        </w:numPr>
        <w:spacing w:before="0" w:after="0" w:line="256" w:lineRule="auto"/>
        <w:rPr>
          <w:color w:val="1B587C" w:themeColor="accent3"/>
          <w:sz w:val="24"/>
          <w:szCs w:val="24"/>
        </w:rPr>
      </w:pPr>
      <w:r w:rsidRPr="001434A1">
        <w:rPr>
          <w:color w:val="1B587C" w:themeColor="accent3"/>
          <w:sz w:val="24"/>
          <w:szCs w:val="24"/>
        </w:rPr>
        <w:t>Removing Juveniles Charged as Adults (In the Interest of Justice) Sect.223(a)(11)(B)</w:t>
      </w:r>
      <w:r w:rsidR="00A63AD2" w:rsidRPr="001434A1">
        <w:rPr>
          <w:color w:val="1B587C" w:themeColor="accent3"/>
          <w:sz w:val="24"/>
          <w:szCs w:val="24"/>
        </w:rPr>
        <w:t xml:space="preserve"> – not detaining or confining juveniles charged as adults in jails or lockups unless the court makes certain findings </w:t>
      </w:r>
    </w:p>
    <w:p w14:paraId="1DC6F3B5" w14:textId="77777777" w:rsidR="00B4785A" w:rsidRPr="001434A1" w:rsidRDefault="00B4785A" w:rsidP="00B4785A">
      <w:pPr>
        <w:spacing w:before="0" w:after="0" w:line="256" w:lineRule="auto"/>
        <w:rPr>
          <w:color w:val="1B587C" w:themeColor="accent3"/>
          <w:sz w:val="24"/>
          <w:szCs w:val="24"/>
        </w:rPr>
      </w:pPr>
    </w:p>
    <w:p w14:paraId="0F081B5F" w14:textId="70CEA2DD" w:rsidR="00105139" w:rsidRPr="001434A1" w:rsidRDefault="00105139" w:rsidP="00105139">
      <w:pPr>
        <w:numPr>
          <w:ilvl w:val="0"/>
          <w:numId w:val="7"/>
        </w:numPr>
        <w:spacing w:before="0" w:after="0" w:line="256" w:lineRule="auto"/>
        <w:rPr>
          <w:color w:val="1B587C" w:themeColor="accent3"/>
          <w:sz w:val="24"/>
          <w:szCs w:val="24"/>
        </w:rPr>
      </w:pPr>
      <w:r w:rsidRPr="001434A1">
        <w:rPr>
          <w:color w:val="1B587C" w:themeColor="accent3"/>
          <w:sz w:val="24"/>
          <w:szCs w:val="24"/>
        </w:rPr>
        <w:t>Sight or Sound Separation of Juveniles from Adult Inmates Sect. 223(a)(12)</w:t>
      </w:r>
      <w:r w:rsidR="00A63AD2" w:rsidRPr="001434A1">
        <w:rPr>
          <w:color w:val="1B587C" w:themeColor="accent3"/>
          <w:sz w:val="24"/>
          <w:szCs w:val="24"/>
        </w:rPr>
        <w:t xml:space="preserve"> </w:t>
      </w:r>
      <w:r w:rsidR="00842B74" w:rsidRPr="001434A1">
        <w:rPr>
          <w:color w:val="1B587C" w:themeColor="accent3"/>
          <w:sz w:val="24"/>
          <w:szCs w:val="24"/>
        </w:rPr>
        <w:t>–</w:t>
      </w:r>
      <w:r w:rsidR="00A63AD2" w:rsidRPr="001434A1">
        <w:rPr>
          <w:color w:val="1B587C" w:themeColor="accent3"/>
          <w:sz w:val="24"/>
          <w:szCs w:val="24"/>
        </w:rPr>
        <w:t xml:space="preserve"> </w:t>
      </w:r>
      <w:r w:rsidR="00842B74" w:rsidRPr="001434A1">
        <w:rPr>
          <w:color w:val="1B587C" w:themeColor="accent3"/>
          <w:sz w:val="24"/>
          <w:szCs w:val="24"/>
        </w:rPr>
        <w:t>not detaining or confining juveniles in any institution in which they have sight or sound contact with adult inmates</w:t>
      </w:r>
    </w:p>
    <w:p w14:paraId="424AE2E9" w14:textId="77777777" w:rsidR="00B4785A" w:rsidRPr="001434A1" w:rsidRDefault="00B4785A" w:rsidP="00B4785A">
      <w:pPr>
        <w:spacing w:before="0" w:after="0" w:line="256" w:lineRule="auto"/>
        <w:rPr>
          <w:color w:val="1B587C" w:themeColor="accent3"/>
          <w:sz w:val="24"/>
          <w:szCs w:val="24"/>
        </w:rPr>
      </w:pPr>
    </w:p>
    <w:p w14:paraId="1738ED8A" w14:textId="4DF4EAE2" w:rsidR="00B4785A" w:rsidRPr="001434A1" w:rsidRDefault="00105139" w:rsidP="00B4785A">
      <w:pPr>
        <w:numPr>
          <w:ilvl w:val="0"/>
          <w:numId w:val="7"/>
        </w:numPr>
        <w:spacing w:before="0" w:after="0" w:line="256" w:lineRule="auto"/>
        <w:rPr>
          <w:color w:val="1B587C" w:themeColor="accent3"/>
          <w:sz w:val="24"/>
          <w:szCs w:val="24"/>
        </w:rPr>
      </w:pPr>
      <w:r w:rsidRPr="001434A1">
        <w:rPr>
          <w:color w:val="1B587C" w:themeColor="accent3"/>
          <w:sz w:val="24"/>
          <w:szCs w:val="24"/>
        </w:rPr>
        <w:t xml:space="preserve">Removal of Juveniles from Adult Jails and Lockups Requirement (JR) Sect. 223(a)(13) – </w:t>
      </w:r>
      <w:r w:rsidR="00A63AD2" w:rsidRPr="001434A1">
        <w:rPr>
          <w:color w:val="1B587C" w:themeColor="accent3"/>
          <w:sz w:val="24"/>
          <w:szCs w:val="24"/>
        </w:rPr>
        <w:t>not detaining or confining juveniles in adult jails or lockups, subject to certain exceptions</w:t>
      </w:r>
    </w:p>
    <w:p w14:paraId="3BBD001A" w14:textId="36875168" w:rsidR="00A63AD2" w:rsidRPr="001434A1" w:rsidRDefault="00105139" w:rsidP="00D44CEE">
      <w:pPr>
        <w:numPr>
          <w:ilvl w:val="0"/>
          <w:numId w:val="8"/>
        </w:numPr>
        <w:shd w:val="clear" w:color="auto" w:fill="FFFFFF"/>
        <w:spacing w:before="100" w:beforeAutospacing="1" w:after="100" w:afterAutospacing="1"/>
        <w:rPr>
          <w:rFonts w:eastAsia="Times New Roman" w:cs="Times New Roman"/>
          <w:color w:val="1B587C" w:themeColor="accent3"/>
          <w:kern w:val="0"/>
          <w:sz w:val="26"/>
          <w:szCs w:val="26"/>
        </w:rPr>
      </w:pPr>
      <w:r w:rsidRPr="001434A1">
        <w:rPr>
          <w:color w:val="1B587C" w:themeColor="accent3"/>
          <w:sz w:val="24"/>
          <w:szCs w:val="24"/>
        </w:rPr>
        <w:t>Reduct</w:t>
      </w:r>
      <w:r w:rsidR="00D44CEE" w:rsidRPr="001434A1">
        <w:rPr>
          <w:color w:val="1B587C" w:themeColor="accent3"/>
          <w:sz w:val="24"/>
          <w:szCs w:val="24"/>
        </w:rPr>
        <w:t>i</w:t>
      </w:r>
      <w:r w:rsidRPr="001434A1">
        <w:rPr>
          <w:color w:val="1B587C" w:themeColor="accent3"/>
          <w:sz w:val="24"/>
          <w:szCs w:val="24"/>
        </w:rPr>
        <w:t xml:space="preserve">on of Racial and Ethnic Disparities Requirement (R/ED) Sect. 223(a)(15) – </w:t>
      </w:r>
      <w:r w:rsidR="00D44CEE" w:rsidRPr="001434A1">
        <w:rPr>
          <w:rFonts w:eastAsia="Times New Roman" w:cs="Times New Roman"/>
          <w:color w:val="1B587C" w:themeColor="accent3"/>
          <w:kern w:val="0"/>
          <w:sz w:val="24"/>
          <w:szCs w:val="24"/>
        </w:rPr>
        <w:t>identifying and reducing racial and ethnic disparities among youth who come into contact with the juvenile justice system</w:t>
      </w:r>
    </w:p>
    <w:p w14:paraId="7E8075B3" w14:textId="1F28D710" w:rsidR="00583545" w:rsidRPr="001434A1" w:rsidRDefault="00583545" w:rsidP="00583545">
      <w:pPr>
        <w:rPr>
          <w:color w:val="1B587C" w:themeColor="accent3"/>
          <w:sz w:val="24"/>
          <w:szCs w:val="24"/>
        </w:rPr>
      </w:pPr>
      <w:r w:rsidRPr="001434A1">
        <w:rPr>
          <w:color w:val="1B587C" w:themeColor="accent3"/>
          <w:sz w:val="24"/>
          <w:szCs w:val="24"/>
        </w:rPr>
        <w:t>DOJ compliance monitors conduct audits of jails, detention centers, court holdings, municipal lockups, law enforcement agencies, secure mental health agencies, and correctional facilities.  Some of these site audits are completed in partnership with the Wisconsin Department of Corrections (DOC).  Any facility that has a secure characteristic; namely, locking interview room, locking holding cell, cuffing bench/bar/rail; must be inspected</w:t>
      </w:r>
      <w:r w:rsidR="007B168C">
        <w:rPr>
          <w:color w:val="1B587C" w:themeColor="accent3"/>
          <w:sz w:val="24"/>
          <w:szCs w:val="24"/>
        </w:rPr>
        <w:t xml:space="preserve"> at least</w:t>
      </w:r>
      <w:r w:rsidRPr="001434A1">
        <w:rPr>
          <w:color w:val="1B587C" w:themeColor="accent3"/>
          <w:sz w:val="24"/>
          <w:szCs w:val="24"/>
        </w:rPr>
        <w:t xml:space="preserve"> once every three years.  </w:t>
      </w:r>
    </w:p>
    <w:p w14:paraId="191B4E2A" w14:textId="77777777" w:rsidR="007B168C" w:rsidRDefault="007B168C" w:rsidP="00583545">
      <w:pPr>
        <w:rPr>
          <w:b/>
          <w:bCs/>
          <w:color w:val="1B587C" w:themeColor="accent3"/>
          <w:sz w:val="24"/>
          <w:szCs w:val="24"/>
          <w:u w:val="single"/>
        </w:rPr>
      </w:pPr>
    </w:p>
    <w:p w14:paraId="53AC6951" w14:textId="6EDFC1D0" w:rsidR="00583545" w:rsidRPr="00057C8F" w:rsidRDefault="00583545" w:rsidP="00583545">
      <w:pPr>
        <w:rPr>
          <w:b/>
          <w:bCs/>
          <w:color w:val="1B587C" w:themeColor="accent3"/>
          <w:sz w:val="24"/>
          <w:szCs w:val="24"/>
          <w:u w:val="single"/>
        </w:rPr>
      </w:pPr>
      <w:r w:rsidRPr="00057C8F">
        <w:rPr>
          <w:b/>
          <w:bCs/>
          <w:color w:val="1B587C" w:themeColor="accent3"/>
          <w:sz w:val="24"/>
          <w:szCs w:val="24"/>
          <w:u w:val="single"/>
        </w:rPr>
        <w:t>What Happens During the Audit?</w:t>
      </w:r>
    </w:p>
    <w:p w14:paraId="18513BAB" w14:textId="77777777" w:rsidR="00583545" w:rsidRPr="001434A1" w:rsidRDefault="00583545" w:rsidP="00583545">
      <w:pPr>
        <w:rPr>
          <w:color w:val="1B587C" w:themeColor="accent3"/>
          <w:sz w:val="24"/>
          <w:szCs w:val="24"/>
          <w:u w:val="single"/>
        </w:rPr>
      </w:pPr>
    </w:p>
    <w:p w14:paraId="7F6AD088" w14:textId="71C3E4B0" w:rsidR="00583545" w:rsidRPr="001434A1" w:rsidRDefault="00583545" w:rsidP="00583545">
      <w:pPr>
        <w:rPr>
          <w:color w:val="1B587C" w:themeColor="accent3"/>
          <w:sz w:val="24"/>
          <w:szCs w:val="24"/>
          <w:u w:val="single"/>
        </w:rPr>
      </w:pPr>
      <w:r w:rsidRPr="001434A1">
        <w:rPr>
          <w:color w:val="1B587C" w:themeColor="accent3"/>
          <w:sz w:val="24"/>
          <w:szCs w:val="24"/>
        </w:rPr>
        <w:t xml:space="preserve">The DOJ compliance monitor (or a DOC staff person, if applicable) will tour your facility from the perspective of a juvenile being brought in for identification/booking, interviewing, or a secure hold.  The compliance monitor will review your custody logs for juveniles and adults.  The juvenile logs for the prior federal fiscal year (October 1 – September 30) will be reviewed to ensure that status/non-offenders were not placed in secure custody, juvenile and adult detainees were sight and sound separated, and juveniles </w:t>
      </w:r>
      <w:r w:rsidRPr="001434A1">
        <w:rPr>
          <w:color w:val="1B587C" w:themeColor="accent3"/>
          <w:sz w:val="24"/>
          <w:szCs w:val="24"/>
        </w:rPr>
        <w:lastRenderedPageBreak/>
        <w:t>were not held in secure custody within an adult jail or lock-up for more than six hours</w:t>
      </w:r>
      <w:r w:rsidR="0041505F" w:rsidRPr="001434A1">
        <w:rPr>
          <w:color w:val="1B587C" w:themeColor="accent3"/>
          <w:sz w:val="24"/>
          <w:szCs w:val="24"/>
        </w:rPr>
        <w:t xml:space="preserve"> or without requisite court approval</w:t>
      </w:r>
      <w:r w:rsidRPr="001434A1">
        <w:rPr>
          <w:color w:val="1B587C" w:themeColor="accent3"/>
          <w:sz w:val="24"/>
          <w:szCs w:val="24"/>
        </w:rPr>
        <w:t xml:space="preserve">.  The adult logs for the prior federal fiscal year will be reviewed to confirm site and sound separation from juveniles and that no 17-year-old status/non-offenders were held securely.  The compliance monitor will review your current policies and procedures for handling juveniles and ask clarifying and procedural questions.  If your facility does not have policies and procedures, the compliance monitor will assist in developing them.  </w:t>
      </w:r>
    </w:p>
    <w:p w14:paraId="7EA23BAA" w14:textId="77777777" w:rsidR="00583545" w:rsidRPr="001434A1" w:rsidRDefault="00583545" w:rsidP="00583545">
      <w:pPr>
        <w:rPr>
          <w:color w:val="1B587C" w:themeColor="accent3"/>
          <w:sz w:val="24"/>
          <w:szCs w:val="24"/>
          <w:u w:val="single"/>
        </w:rPr>
      </w:pPr>
    </w:p>
    <w:p w14:paraId="30D7D64E" w14:textId="79B994CF" w:rsidR="00583545" w:rsidRPr="00057C8F" w:rsidRDefault="00583545" w:rsidP="00583545">
      <w:pPr>
        <w:rPr>
          <w:b/>
          <w:bCs/>
          <w:color w:val="1B587C" w:themeColor="accent3"/>
          <w:sz w:val="24"/>
          <w:szCs w:val="24"/>
          <w:u w:val="single"/>
        </w:rPr>
      </w:pPr>
      <w:r w:rsidRPr="00057C8F">
        <w:rPr>
          <w:b/>
          <w:bCs/>
          <w:color w:val="1B587C" w:themeColor="accent3"/>
          <w:sz w:val="24"/>
          <w:szCs w:val="24"/>
          <w:u w:val="single"/>
        </w:rPr>
        <w:t>What Do We Do with The Information We Compile from Site Audits?</w:t>
      </w:r>
    </w:p>
    <w:p w14:paraId="63453764" w14:textId="77777777" w:rsidR="00583545" w:rsidRPr="001434A1" w:rsidRDefault="00583545" w:rsidP="00583545">
      <w:pPr>
        <w:rPr>
          <w:color w:val="1B587C" w:themeColor="accent3"/>
          <w:sz w:val="24"/>
          <w:szCs w:val="24"/>
          <w:u w:val="single"/>
        </w:rPr>
      </w:pPr>
    </w:p>
    <w:p w14:paraId="716AD4FC" w14:textId="53379906" w:rsidR="00583545" w:rsidRPr="001434A1" w:rsidRDefault="00583545" w:rsidP="00583545">
      <w:pPr>
        <w:rPr>
          <w:color w:val="1B587C" w:themeColor="accent3"/>
          <w:sz w:val="24"/>
          <w:szCs w:val="24"/>
        </w:rPr>
      </w:pPr>
      <w:r w:rsidRPr="001434A1">
        <w:rPr>
          <w:color w:val="1B587C" w:themeColor="accent3"/>
          <w:sz w:val="24"/>
          <w:szCs w:val="24"/>
        </w:rPr>
        <w:t>Compliance monitors complete a report summarizing the visit, which is provided to each facility. The data is compiled into an annual report that is submitted to OJJDP.</w:t>
      </w:r>
      <w:r w:rsidR="00C43AF8">
        <w:rPr>
          <w:color w:val="1B587C" w:themeColor="accent3"/>
          <w:sz w:val="24"/>
          <w:szCs w:val="24"/>
        </w:rPr>
        <w:t xml:space="preserve"> </w:t>
      </w:r>
    </w:p>
    <w:p w14:paraId="2A79C9B3" w14:textId="77777777" w:rsidR="00583545" w:rsidRPr="001434A1" w:rsidRDefault="00583545" w:rsidP="00583545">
      <w:pPr>
        <w:rPr>
          <w:color w:val="1B587C" w:themeColor="accent3"/>
          <w:sz w:val="24"/>
          <w:szCs w:val="24"/>
        </w:rPr>
      </w:pPr>
    </w:p>
    <w:p w14:paraId="1D3B9F23" w14:textId="77777777" w:rsidR="00583545" w:rsidRPr="00057C8F" w:rsidRDefault="00583545" w:rsidP="00583545">
      <w:pPr>
        <w:rPr>
          <w:b/>
          <w:bCs/>
          <w:color w:val="1B587C" w:themeColor="accent3"/>
          <w:sz w:val="24"/>
          <w:szCs w:val="24"/>
          <w:u w:val="single"/>
        </w:rPr>
      </w:pPr>
      <w:r w:rsidRPr="00057C8F">
        <w:rPr>
          <w:b/>
          <w:bCs/>
          <w:color w:val="1B587C" w:themeColor="accent3"/>
          <w:sz w:val="24"/>
          <w:szCs w:val="24"/>
          <w:u w:val="single"/>
        </w:rPr>
        <w:t>What Happens If There Are Violations?</w:t>
      </w:r>
    </w:p>
    <w:p w14:paraId="1354C3A8" w14:textId="77777777" w:rsidR="00583545" w:rsidRPr="001434A1" w:rsidRDefault="00583545" w:rsidP="00583545">
      <w:pPr>
        <w:rPr>
          <w:color w:val="1B587C" w:themeColor="accent3"/>
          <w:sz w:val="24"/>
          <w:szCs w:val="24"/>
          <w:u w:val="single"/>
        </w:rPr>
      </w:pPr>
    </w:p>
    <w:p w14:paraId="35E2B183" w14:textId="0F06171C" w:rsidR="00583545" w:rsidRPr="001434A1" w:rsidRDefault="00583545" w:rsidP="00583545">
      <w:pPr>
        <w:rPr>
          <w:color w:val="1B587C" w:themeColor="accent3"/>
          <w:sz w:val="24"/>
          <w:szCs w:val="24"/>
        </w:rPr>
      </w:pPr>
      <w:r w:rsidRPr="001434A1">
        <w:rPr>
          <w:color w:val="1B587C" w:themeColor="accent3"/>
          <w:sz w:val="24"/>
          <w:szCs w:val="24"/>
        </w:rPr>
        <w:t xml:space="preserve">If your facility has violations, the DOJ compliance monitors will work with you to correct them.  There is no penalty to your facility, but the number of JJDPA violations may affect the amount of federal funds awarded to Wisconsin.  </w:t>
      </w:r>
      <w:r w:rsidR="00C8317B">
        <w:rPr>
          <w:color w:val="1B587C" w:themeColor="accent3"/>
          <w:sz w:val="24"/>
          <w:szCs w:val="24"/>
        </w:rPr>
        <w:t xml:space="preserve">Additional potential impacts of a non-compliance with JJDPA core requirements can be discussed with DOJ staff at the time of audit, or at an alternative time.  </w:t>
      </w:r>
      <w:r w:rsidR="00C8317B" w:rsidRPr="001434A1">
        <w:rPr>
          <w:color w:val="1B587C" w:themeColor="accent3"/>
          <w:sz w:val="24"/>
          <w:szCs w:val="24"/>
        </w:rPr>
        <w:t xml:space="preserve"> </w:t>
      </w:r>
    </w:p>
    <w:p w14:paraId="54C0D23E" w14:textId="77777777" w:rsidR="00583545" w:rsidRPr="001434A1" w:rsidRDefault="00583545" w:rsidP="00583545">
      <w:pPr>
        <w:rPr>
          <w:color w:val="1B587C" w:themeColor="accent3"/>
          <w:sz w:val="24"/>
          <w:szCs w:val="24"/>
        </w:rPr>
      </w:pPr>
    </w:p>
    <w:p w14:paraId="044E84B2" w14:textId="02083AA8" w:rsidR="00583545" w:rsidRPr="00057C8F" w:rsidRDefault="00583545" w:rsidP="00583545">
      <w:pPr>
        <w:rPr>
          <w:b/>
          <w:bCs/>
          <w:color w:val="1B587C" w:themeColor="accent3"/>
          <w:sz w:val="24"/>
          <w:szCs w:val="24"/>
          <w:u w:val="single"/>
        </w:rPr>
      </w:pPr>
      <w:r w:rsidRPr="00057C8F">
        <w:rPr>
          <w:b/>
          <w:bCs/>
          <w:color w:val="1B587C" w:themeColor="accent3"/>
          <w:sz w:val="24"/>
          <w:szCs w:val="24"/>
          <w:u w:val="single"/>
        </w:rPr>
        <w:t>Common Terms/Definitions Within the JJDPA Audit Process</w:t>
      </w:r>
    </w:p>
    <w:p w14:paraId="534550EB" w14:textId="77777777" w:rsidR="00583545" w:rsidRPr="001434A1" w:rsidRDefault="00583545" w:rsidP="00583545">
      <w:pPr>
        <w:ind w:left="720"/>
        <w:rPr>
          <w:color w:val="1B587C" w:themeColor="accent3"/>
          <w:sz w:val="24"/>
          <w:szCs w:val="24"/>
        </w:rPr>
      </w:pPr>
      <w:r w:rsidRPr="00696F79">
        <w:rPr>
          <w:b/>
          <w:bCs/>
          <w:color w:val="1B587C" w:themeColor="accent3"/>
          <w:sz w:val="24"/>
          <w:szCs w:val="24"/>
        </w:rPr>
        <w:t>Accused</w:t>
      </w:r>
      <w:r w:rsidRPr="001434A1">
        <w:rPr>
          <w:color w:val="1B587C" w:themeColor="accent3"/>
          <w:sz w:val="24"/>
          <w:szCs w:val="24"/>
        </w:rPr>
        <w:t>: a person accused of committing an offense—status or delinquent.</w:t>
      </w:r>
    </w:p>
    <w:p w14:paraId="253E2050" w14:textId="77777777" w:rsidR="00583545" w:rsidRPr="001434A1" w:rsidRDefault="00583545" w:rsidP="00583545">
      <w:pPr>
        <w:ind w:left="720"/>
        <w:rPr>
          <w:color w:val="1B587C" w:themeColor="accent3"/>
          <w:sz w:val="24"/>
          <w:szCs w:val="24"/>
        </w:rPr>
      </w:pPr>
      <w:r w:rsidRPr="00696F79">
        <w:rPr>
          <w:b/>
          <w:bCs/>
          <w:color w:val="1B587C" w:themeColor="accent3"/>
          <w:sz w:val="24"/>
          <w:szCs w:val="24"/>
        </w:rPr>
        <w:t>Adjudicated</w:t>
      </w:r>
      <w:r w:rsidRPr="001434A1">
        <w:rPr>
          <w:color w:val="1B587C" w:themeColor="accent3"/>
          <w:sz w:val="24"/>
          <w:szCs w:val="24"/>
        </w:rPr>
        <w:t>: found by the court to have committed an offense—status or delinquent.</w:t>
      </w:r>
    </w:p>
    <w:p w14:paraId="5B6A67D7" w14:textId="01EBDE11" w:rsidR="00583545" w:rsidRDefault="00583545" w:rsidP="00583545">
      <w:pPr>
        <w:ind w:left="720"/>
        <w:rPr>
          <w:color w:val="1B587C" w:themeColor="accent3"/>
          <w:sz w:val="24"/>
          <w:szCs w:val="24"/>
        </w:rPr>
      </w:pPr>
      <w:r w:rsidRPr="00696F79">
        <w:rPr>
          <w:b/>
          <w:bCs/>
          <w:color w:val="1B587C" w:themeColor="accent3"/>
          <w:sz w:val="24"/>
          <w:szCs w:val="24"/>
        </w:rPr>
        <w:t>Delinquent</w:t>
      </w:r>
      <w:r w:rsidRPr="001434A1">
        <w:rPr>
          <w:color w:val="1B587C" w:themeColor="accent3"/>
          <w:sz w:val="24"/>
          <w:szCs w:val="24"/>
        </w:rPr>
        <w:t xml:space="preserve">: a juvenile offense that would be criminal if committed by an adult.  </w:t>
      </w:r>
    </w:p>
    <w:p w14:paraId="5BF76B2B" w14:textId="1350C5EB" w:rsidR="00F363E7" w:rsidRPr="00677F5B" w:rsidRDefault="00F363E7" w:rsidP="00583545">
      <w:pPr>
        <w:ind w:left="720"/>
        <w:rPr>
          <w:color w:val="1B587C" w:themeColor="accent3"/>
          <w:sz w:val="24"/>
          <w:szCs w:val="24"/>
        </w:rPr>
      </w:pPr>
      <w:r w:rsidRPr="00677F5B">
        <w:rPr>
          <w:b/>
          <w:bCs/>
          <w:color w:val="1B587C" w:themeColor="accent3"/>
          <w:sz w:val="24"/>
          <w:szCs w:val="24"/>
        </w:rPr>
        <w:t>Detain or Confine:</w:t>
      </w:r>
      <w:r w:rsidRPr="00677F5B">
        <w:rPr>
          <w:color w:val="1B587C" w:themeColor="accent3"/>
          <w:sz w:val="24"/>
          <w:szCs w:val="24"/>
        </w:rPr>
        <w:t xml:space="preserve"> </w:t>
      </w:r>
      <w:r w:rsidR="00C70304" w:rsidRPr="00677F5B">
        <w:rPr>
          <w:color w:val="1B587C" w:themeColor="accent3"/>
          <w:sz w:val="24"/>
          <w:szCs w:val="24"/>
        </w:rPr>
        <w:t xml:space="preserve">to hold, keep, or restrain a person such that they are not free to leave, or a reasonable person would believe they are not free to leave.  This does not include those held solely for </w:t>
      </w:r>
      <w:r w:rsidR="00102ED1">
        <w:rPr>
          <w:color w:val="1B587C" w:themeColor="accent3"/>
          <w:sz w:val="24"/>
          <w:szCs w:val="24"/>
        </w:rPr>
        <w:t>release</w:t>
      </w:r>
      <w:r w:rsidR="00C70304" w:rsidRPr="00677F5B">
        <w:rPr>
          <w:color w:val="1B587C" w:themeColor="accent3"/>
          <w:sz w:val="24"/>
          <w:szCs w:val="24"/>
        </w:rPr>
        <w:t xml:space="preserve"> to a parent/guardian</w:t>
      </w:r>
      <w:r w:rsidR="00677F5B" w:rsidRPr="00677F5B">
        <w:rPr>
          <w:color w:val="1B587C" w:themeColor="accent3"/>
          <w:sz w:val="24"/>
          <w:szCs w:val="24"/>
        </w:rPr>
        <w:t xml:space="preserve">, </w:t>
      </w:r>
      <w:r w:rsidR="00C70304" w:rsidRPr="00677F5B">
        <w:rPr>
          <w:color w:val="1B587C" w:themeColor="accent3"/>
          <w:sz w:val="24"/>
          <w:szCs w:val="24"/>
        </w:rPr>
        <w:t>transfer to a child welfare/social services agency</w:t>
      </w:r>
      <w:r w:rsidR="00677F5B" w:rsidRPr="00677F5B">
        <w:rPr>
          <w:color w:val="1B587C" w:themeColor="accent3"/>
          <w:sz w:val="24"/>
          <w:szCs w:val="24"/>
        </w:rPr>
        <w:t>, or processed within a secure booking area and immediately moved to a nonsecure area/released/transported.</w:t>
      </w:r>
    </w:p>
    <w:p w14:paraId="1C1E8796" w14:textId="77777777" w:rsidR="00583545" w:rsidRPr="001434A1" w:rsidRDefault="00583545" w:rsidP="00583545">
      <w:pPr>
        <w:ind w:left="720"/>
        <w:rPr>
          <w:color w:val="1B587C" w:themeColor="accent3"/>
          <w:sz w:val="24"/>
          <w:szCs w:val="24"/>
        </w:rPr>
      </w:pPr>
      <w:r w:rsidRPr="00696F79">
        <w:rPr>
          <w:b/>
          <w:bCs/>
          <w:color w:val="1B587C" w:themeColor="accent3"/>
          <w:sz w:val="24"/>
          <w:szCs w:val="24"/>
        </w:rPr>
        <w:t>Non-offender</w:t>
      </w:r>
      <w:r w:rsidRPr="001434A1">
        <w:rPr>
          <w:color w:val="1B587C" w:themeColor="accent3"/>
          <w:sz w:val="24"/>
          <w:szCs w:val="24"/>
        </w:rPr>
        <w:t>: a juvenile who has committed no offense or violation and may be abused, neglected, an unauthorized immigrant, a runaway, or experiencing a mental health crisis.</w:t>
      </w:r>
    </w:p>
    <w:p w14:paraId="5A444F38" w14:textId="2D0D109E" w:rsidR="00583545" w:rsidRPr="001434A1" w:rsidRDefault="00583545" w:rsidP="00583545">
      <w:pPr>
        <w:ind w:left="720"/>
        <w:rPr>
          <w:color w:val="1B587C" w:themeColor="accent3"/>
          <w:sz w:val="24"/>
          <w:szCs w:val="24"/>
        </w:rPr>
      </w:pPr>
      <w:r w:rsidRPr="00696F79">
        <w:rPr>
          <w:b/>
          <w:bCs/>
          <w:color w:val="1B587C" w:themeColor="accent3"/>
          <w:sz w:val="24"/>
          <w:szCs w:val="24"/>
        </w:rPr>
        <w:t>Secure</w:t>
      </w:r>
      <w:r w:rsidRPr="001434A1">
        <w:rPr>
          <w:color w:val="1B587C" w:themeColor="accent3"/>
          <w:sz w:val="24"/>
          <w:szCs w:val="24"/>
        </w:rPr>
        <w:t xml:space="preserve">: </w:t>
      </w:r>
      <w:r w:rsidR="00241E17">
        <w:rPr>
          <w:color w:val="1B587C" w:themeColor="accent3"/>
          <w:sz w:val="24"/>
          <w:szCs w:val="24"/>
        </w:rPr>
        <w:t>locks or construction fixtures prevent</w:t>
      </w:r>
      <w:r w:rsidR="005D2F71">
        <w:rPr>
          <w:color w:val="1B587C" w:themeColor="accent3"/>
          <w:sz w:val="24"/>
          <w:szCs w:val="24"/>
        </w:rPr>
        <w:t>ing</w:t>
      </w:r>
      <w:r w:rsidR="00241E17">
        <w:rPr>
          <w:color w:val="1B587C" w:themeColor="accent3"/>
          <w:sz w:val="24"/>
          <w:szCs w:val="24"/>
        </w:rPr>
        <w:t xml:space="preserve"> unimpeded egress, </w:t>
      </w:r>
      <w:r w:rsidRPr="001434A1">
        <w:rPr>
          <w:color w:val="1B587C" w:themeColor="accent3"/>
          <w:sz w:val="24"/>
          <w:szCs w:val="24"/>
        </w:rPr>
        <w:t xml:space="preserve">a locking interview room, </w:t>
      </w:r>
      <w:r w:rsidR="00EC1F53">
        <w:rPr>
          <w:color w:val="1B587C" w:themeColor="accent3"/>
          <w:sz w:val="24"/>
          <w:szCs w:val="24"/>
        </w:rPr>
        <w:t>a</w:t>
      </w:r>
      <w:r w:rsidR="005A34F2">
        <w:rPr>
          <w:color w:val="1B587C" w:themeColor="accent3"/>
          <w:sz w:val="24"/>
          <w:szCs w:val="24"/>
        </w:rPr>
        <w:t>n area</w:t>
      </w:r>
      <w:r w:rsidR="00EC1F53">
        <w:rPr>
          <w:color w:val="1B587C" w:themeColor="accent3"/>
          <w:sz w:val="24"/>
          <w:szCs w:val="24"/>
        </w:rPr>
        <w:t xml:space="preserve"> with secure cuffing features, </w:t>
      </w:r>
      <w:r w:rsidR="00241E17">
        <w:rPr>
          <w:color w:val="1B587C" w:themeColor="accent3"/>
          <w:sz w:val="24"/>
          <w:szCs w:val="24"/>
        </w:rPr>
        <w:t xml:space="preserve">a </w:t>
      </w:r>
      <w:r w:rsidR="00EC1F53">
        <w:rPr>
          <w:color w:val="1B587C" w:themeColor="accent3"/>
          <w:sz w:val="24"/>
          <w:szCs w:val="24"/>
        </w:rPr>
        <w:t xml:space="preserve">locking </w:t>
      </w:r>
      <w:r w:rsidRPr="001434A1">
        <w:rPr>
          <w:color w:val="1B587C" w:themeColor="accent3"/>
          <w:sz w:val="24"/>
          <w:szCs w:val="24"/>
        </w:rPr>
        <w:t>holding cell</w:t>
      </w:r>
      <w:r w:rsidR="005A34F2">
        <w:rPr>
          <w:color w:val="1B587C" w:themeColor="accent3"/>
          <w:sz w:val="24"/>
          <w:szCs w:val="24"/>
        </w:rPr>
        <w:t>.</w:t>
      </w:r>
      <w:r w:rsidR="006C38E5">
        <w:rPr>
          <w:color w:val="1B587C" w:themeColor="accent3"/>
          <w:sz w:val="24"/>
          <w:szCs w:val="24"/>
        </w:rPr>
        <w:t xml:space="preserve">  </w:t>
      </w:r>
      <w:r w:rsidR="00455B87">
        <w:rPr>
          <w:color w:val="1B587C" w:themeColor="accent3"/>
          <w:sz w:val="24"/>
          <w:szCs w:val="24"/>
        </w:rPr>
        <w:t xml:space="preserve">Placement in secure areas, even if secure features not utilized, results in detention/confinement under the JJDPA.  </w:t>
      </w:r>
    </w:p>
    <w:p w14:paraId="09A00D5C" w14:textId="6AE312E5" w:rsidR="00583545" w:rsidRPr="001434A1" w:rsidRDefault="00583545" w:rsidP="00583545">
      <w:pPr>
        <w:ind w:left="720"/>
        <w:rPr>
          <w:color w:val="1B587C" w:themeColor="accent3"/>
          <w:sz w:val="24"/>
          <w:szCs w:val="24"/>
        </w:rPr>
      </w:pPr>
      <w:r w:rsidRPr="00696F79">
        <w:rPr>
          <w:b/>
          <w:bCs/>
          <w:color w:val="1B587C" w:themeColor="accent3"/>
          <w:sz w:val="24"/>
          <w:szCs w:val="24"/>
        </w:rPr>
        <w:t>Non-secure</w:t>
      </w:r>
      <w:r w:rsidRPr="001434A1">
        <w:rPr>
          <w:color w:val="1B587C" w:themeColor="accent3"/>
          <w:sz w:val="24"/>
          <w:szCs w:val="24"/>
        </w:rPr>
        <w:t xml:space="preserve">:  </w:t>
      </w:r>
      <w:r w:rsidR="00EC1F53">
        <w:rPr>
          <w:color w:val="1B587C" w:themeColor="accent3"/>
          <w:sz w:val="24"/>
          <w:szCs w:val="24"/>
        </w:rPr>
        <w:t>the</w:t>
      </w:r>
      <w:r w:rsidRPr="001434A1">
        <w:rPr>
          <w:color w:val="1B587C" w:themeColor="accent3"/>
          <w:sz w:val="24"/>
          <w:szCs w:val="24"/>
        </w:rPr>
        <w:t xml:space="preserve"> person is placed in a room with no lock on the door and has unimpeded egress out of the building.  If necessary, the person may be handcuffed to him/herself but not to a stationary object.</w:t>
      </w:r>
      <w:r w:rsidR="005A34F2">
        <w:rPr>
          <w:color w:val="1B587C" w:themeColor="accent3"/>
          <w:sz w:val="24"/>
          <w:szCs w:val="24"/>
        </w:rPr>
        <w:t xml:space="preserve">  </w:t>
      </w:r>
    </w:p>
    <w:p w14:paraId="5C2D391E" w14:textId="5B5D5DA1" w:rsidR="00583545" w:rsidRPr="001434A1" w:rsidRDefault="00583545" w:rsidP="00583545">
      <w:pPr>
        <w:ind w:left="720"/>
        <w:rPr>
          <w:color w:val="1B587C" w:themeColor="accent3"/>
          <w:sz w:val="24"/>
          <w:szCs w:val="24"/>
        </w:rPr>
      </w:pPr>
      <w:r w:rsidRPr="00696F79">
        <w:rPr>
          <w:b/>
          <w:bCs/>
          <w:color w:val="1B587C" w:themeColor="accent3"/>
          <w:sz w:val="24"/>
          <w:szCs w:val="24"/>
        </w:rPr>
        <w:t xml:space="preserve">Sight </w:t>
      </w:r>
      <w:r w:rsidR="00EC1F53">
        <w:rPr>
          <w:b/>
          <w:bCs/>
          <w:color w:val="1B587C" w:themeColor="accent3"/>
          <w:sz w:val="24"/>
          <w:szCs w:val="24"/>
        </w:rPr>
        <w:t>or</w:t>
      </w:r>
      <w:r w:rsidRPr="00696F79">
        <w:rPr>
          <w:b/>
          <w:bCs/>
          <w:color w:val="1B587C" w:themeColor="accent3"/>
          <w:sz w:val="24"/>
          <w:szCs w:val="24"/>
        </w:rPr>
        <w:t xml:space="preserve"> sound contact</w:t>
      </w:r>
      <w:r w:rsidRPr="001434A1">
        <w:rPr>
          <w:color w:val="1B587C" w:themeColor="accent3"/>
          <w:sz w:val="24"/>
          <w:szCs w:val="24"/>
        </w:rPr>
        <w:t xml:space="preserve">: Any physical, clear visual, or verbal contact that is not brief and inadvertent.  </w:t>
      </w:r>
    </w:p>
    <w:p w14:paraId="4DF524AA" w14:textId="49632A88" w:rsidR="00583545" w:rsidRPr="001434A1" w:rsidRDefault="00583545" w:rsidP="00583545">
      <w:pPr>
        <w:ind w:left="720"/>
        <w:rPr>
          <w:color w:val="1B587C" w:themeColor="accent3"/>
          <w:sz w:val="24"/>
          <w:szCs w:val="24"/>
        </w:rPr>
      </w:pPr>
      <w:r w:rsidRPr="00696F79">
        <w:rPr>
          <w:b/>
          <w:bCs/>
          <w:color w:val="1B587C" w:themeColor="accent3"/>
          <w:sz w:val="24"/>
          <w:szCs w:val="24"/>
        </w:rPr>
        <w:t>Status offender</w:t>
      </w:r>
      <w:r w:rsidRPr="001434A1">
        <w:rPr>
          <w:color w:val="1B587C" w:themeColor="accent3"/>
          <w:sz w:val="24"/>
          <w:szCs w:val="24"/>
        </w:rPr>
        <w:t>: committed an offense that would not be criminal if committed by an adult; e.g., running away, curfew, truancy.  A warrant or capias issued where the original offense was a status offense remains a status offense.</w:t>
      </w:r>
    </w:p>
    <w:p w14:paraId="508C75C2" w14:textId="77777777" w:rsidR="00583545" w:rsidRPr="001434A1" w:rsidRDefault="00583545" w:rsidP="00583545">
      <w:pPr>
        <w:ind w:left="720"/>
        <w:rPr>
          <w:color w:val="1B587C" w:themeColor="accent3"/>
          <w:sz w:val="24"/>
          <w:szCs w:val="24"/>
        </w:rPr>
      </w:pPr>
      <w:r w:rsidRPr="00696F79">
        <w:rPr>
          <w:b/>
          <w:bCs/>
          <w:color w:val="1B587C" w:themeColor="accent3"/>
          <w:sz w:val="24"/>
          <w:szCs w:val="24"/>
        </w:rPr>
        <w:t>Time-phasing</w:t>
      </w:r>
      <w:r w:rsidRPr="001434A1">
        <w:rPr>
          <w:color w:val="1B587C" w:themeColor="accent3"/>
          <w:sz w:val="24"/>
          <w:szCs w:val="24"/>
        </w:rPr>
        <w:t xml:space="preserve">: Use of the same physical space, but not at the same time.  </w:t>
      </w:r>
    </w:p>
    <w:p w14:paraId="378E71D0" w14:textId="77777777" w:rsidR="00583545" w:rsidRPr="001434A1" w:rsidRDefault="00583545" w:rsidP="00583545">
      <w:pPr>
        <w:ind w:left="720"/>
        <w:rPr>
          <w:color w:val="1B587C" w:themeColor="accent3"/>
          <w:sz w:val="24"/>
          <w:szCs w:val="24"/>
        </w:rPr>
      </w:pPr>
    </w:p>
    <w:p w14:paraId="040C646E" w14:textId="12D1DEF9" w:rsidR="005E2860" w:rsidRDefault="00583545" w:rsidP="00583545">
      <w:pPr>
        <w:rPr>
          <w:color w:val="1B587C" w:themeColor="accent3"/>
          <w:sz w:val="24"/>
          <w:szCs w:val="24"/>
        </w:rPr>
      </w:pPr>
      <w:r w:rsidRPr="001434A1">
        <w:rPr>
          <w:color w:val="1B587C" w:themeColor="accent3"/>
          <w:sz w:val="24"/>
          <w:szCs w:val="24"/>
        </w:rPr>
        <w:t>We are here to work with you and would be happy to answer any questions/concerns you may have.</w:t>
      </w:r>
    </w:p>
    <w:p w14:paraId="1FF7D67B" w14:textId="77777777" w:rsidR="001979BF" w:rsidRPr="001434A1" w:rsidRDefault="001979BF" w:rsidP="00583545">
      <w:pPr>
        <w:rPr>
          <w:color w:val="1B587C" w:themeColor="accent3"/>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3520"/>
        <w:gridCol w:w="3520"/>
      </w:tblGrid>
      <w:tr w:rsidR="00583545" w:rsidRPr="008D7672" w14:paraId="625A7BA5" w14:textId="77777777" w:rsidTr="005E2860">
        <w:trPr>
          <w:trHeight w:val="1209"/>
          <w:jc w:val="center"/>
        </w:trPr>
        <w:tc>
          <w:tcPr>
            <w:tcW w:w="3519" w:type="dxa"/>
          </w:tcPr>
          <w:p w14:paraId="5D02726C" w14:textId="77777777" w:rsidR="00583545" w:rsidRPr="001979BF" w:rsidRDefault="00583545" w:rsidP="004B4D33">
            <w:pPr>
              <w:jc w:val="center"/>
              <w:rPr>
                <w:rFonts w:ascii="Franklin Gothic Medium" w:hAnsi="Franklin Gothic Medium" w:cs="Calibri"/>
                <w:color w:val="1B587C" w:themeColor="accent3"/>
                <w:sz w:val="18"/>
                <w:szCs w:val="18"/>
              </w:rPr>
            </w:pPr>
            <w:r w:rsidRPr="001979BF">
              <w:rPr>
                <w:rFonts w:ascii="Franklin Gothic Medium" w:hAnsi="Franklin Gothic Medium" w:cs="Calibri"/>
                <w:color w:val="1B587C" w:themeColor="accent3"/>
                <w:sz w:val="18"/>
                <w:szCs w:val="18"/>
              </w:rPr>
              <w:t>Matt Allord</w:t>
            </w:r>
          </w:p>
          <w:p w14:paraId="41EC7ED6" w14:textId="77777777" w:rsidR="00583545" w:rsidRPr="001979BF" w:rsidRDefault="00583545" w:rsidP="004B4D33">
            <w:pPr>
              <w:jc w:val="center"/>
              <w:rPr>
                <w:rFonts w:ascii="Franklin Gothic Medium" w:hAnsi="Franklin Gothic Medium" w:cs="Calibri"/>
                <w:color w:val="1B587C" w:themeColor="accent3"/>
                <w:sz w:val="18"/>
                <w:szCs w:val="18"/>
              </w:rPr>
            </w:pPr>
            <w:r w:rsidRPr="001979BF">
              <w:rPr>
                <w:rFonts w:ascii="Franklin Gothic Medium" w:hAnsi="Franklin Gothic Medium" w:cs="Calibri"/>
                <w:color w:val="1B587C" w:themeColor="accent3"/>
                <w:sz w:val="18"/>
                <w:szCs w:val="18"/>
              </w:rPr>
              <w:t>Juvenile Justice Supervisor, Compliance Manager</w:t>
            </w:r>
          </w:p>
          <w:p w14:paraId="28CABD46" w14:textId="77777777" w:rsidR="00583545" w:rsidRPr="001979BF" w:rsidRDefault="00583545" w:rsidP="004B4D33">
            <w:pPr>
              <w:jc w:val="center"/>
              <w:rPr>
                <w:rFonts w:ascii="Franklin Gothic Medium" w:hAnsi="Franklin Gothic Medium" w:cs="Calibri"/>
                <w:color w:val="1B587C" w:themeColor="accent3"/>
                <w:sz w:val="18"/>
                <w:szCs w:val="18"/>
              </w:rPr>
            </w:pPr>
            <w:r w:rsidRPr="001979BF">
              <w:rPr>
                <w:rFonts w:ascii="Franklin Gothic Medium" w:hAnsi="Franklin Gothic Medium" w:cs="Calibri"/>
                <w:color w:val="1B587C" w:themeColor="accent3"/>
                <w:sz w:val="18"/>
                <w:szCs w:val="18"/>
              </w:rPr>
              <w:t>608-419-5847</w:t>
            </w:r>
          </w:p>
          <w:p w14:paraId="04CBDEA1" w14:textId="77777777" w:rsidR="00583545" w:rsidRPr="001979BF" w:rsidRDefault="00725DA9" w:rsidP="004B4D33">
            <w:pPr>
              <w:jc w:val="center"/>
              <w:rPr>
                <w:rFonts w:ascii="Franklin Gothic Medium" w:hAnsi="Franklin Gothic Medium" w:cs="Calibri"/>
                <w:color w:val="1B587C" w:themeColor="accent3"/>
                <w:sz w:val="18"/>
                <w:szCs w:val="18"/>
              </w:rPr>
            </w:pPr>
            <w:hyperlink r:id="rId7" w:history="1">
              <w:r w:rsidR="00583545" w:rsidRPr="001979BF">
                <w:rPr>
                  <w:rStyle w:val="Hyperlink"/>
                  <w:rFonts w:ascii="Franklin Gothic Medium" w:hAnsi="Franklin Gothic Medium" w:cs="Calibri"/>
                  <w:color w:val="1B587C" w:themeColor="accent3"/>
                  <w:sz w:val="18"/>
                  <w:szCs w:val="18"/>
                </w:rPr>
                <w:t>allordmj@doj.state.wi.us</w:t>
              </w:r>
            </w:hyperlink>
          </w:p>
        </w:tc>
        <w:tc>
          <w:tcPr>
            <w:tcW w:w="3520" w:type="dxa"/>
          </w:tcPr>
          <w:p w14:paraId="1C2882CF" w14:textId="77777777" w:rsidR="00583545" w:rsidRPr="001979BF" w:rsidRDefault="00583545" w:rsidP="004B4D33">
            <w:pPr>
              <w:jc w:val="center"/>
              <w:rPr>
                <w:rFonts w:ascii="Franklin Gothic Medium" w:hAnsi="Franklin Gothic Medium" w:cs="Calibri"/>
                <w:color w:val="1B587C" w:themeColor="accent3"/>
                <w:sz w:val="18"/>
                <w:szCs w:val="18"/>
              </w:rPr>
            </w:pPr>
            <w:r w:rsidRPr="001979BF">
              <w:rPr>
                <w:rFonts w:ascii="Franklin Gothic Medium" w:hAnsi="Franklin Gothic Medium" w:cs="Calibri"/>
                <w:color w:val="1B587C" w:themeColor="accent3"/>
                <w:sz w:val="18"/>
                <w:szCs w:val="18"/>
              </w:rPr>
              <w:t>Jeff Sauer</w:t>
            </w:r>
          </w:p>
          <w:p w14:paraId="592EFB24" w14:textId="77777777" w:rsidR="00583545" w:rsidRPr="001979BF" w:rsidRDefault="00583545" w:rsidP="004B4D33">
            <w:pPr>
              <w:jc w:val="center"/>
              <w:rPr>
                <w:rFonts w:ascii="Franklin Gothic Medium" w:hAnsi="Franklin Gothic Medium" w:cs="Calibri"/>
                <w:color w:val="1B587C" w:themeColor="accent3"/>
                <w:sz w:val="18"/>
                <w:szCs w:val="18"/>
              </w:rPr>
            </w:pPr>
            <w:r w:rsidRPr="001979BF">
              <w:rPr>
                <w:rFonts w:ascii="Franklin Gothic Medium" w:hAnsi="Franklin Gothic Medium" w:cs="Calibri"/>
                <w:color w:val="1B587C" w:themeColor="accent3"/>
                <w:sz w:val="18"/>
                <w:szCs w:val="18"/>
              </w:rPr>
              <w:t>Compliance Monitor</w:t>
            </w:r>
          </w:p>
          <w:p w14:paraId="7A6579E7" w14:textId="77777777" w:rsidR="00583545" w:rsidRPr="001979BF" w:rsidRDefault="00583545" w:rsidP="004B4D33">
            <w:pPr>
              <w:jc w:val="center"/>
              <w:rPr>
                <w:rFonts w:ascii="Franklin Gothic Medium" w:hAnsi="Franklin Gothic Medium" w:cs="Calibri"/>
                <w:color w:val="1B587C" w:themeColor="accent3"/>
                <w:sz w:val="18"/>
                <w:szCs w:val="18"/>
              </w:rPr>
            </w:pPr>
            <w:r w:rsidRPr="001979BF">
              <w:rPr>
                <w:rFonts w:ascii="Franklin Gothic Medium" w:hAnsi="Franklin Gothic Medium" w:cs="Calibri"/>
                <w:color w:val="1B587C" w:themeColor="accent3"/>
                <w:sz w:val="18"/>
                <w:szCs w:val="18"/>
              </w:rPr>
              <w:t>608-977-1491</w:t>
            </w:r>
          </w:p>
          <w:p w14:paraId="22028D5A" w14:textId="77777777" w:rsidR="00583545" w:rsidRPr="001979BF" w:rsidRDefault="00725DA9" w:rsidP="004B4D33">
            <w:pPr>
              <w:jc w:val="center"/>
              <w:rPr>
                <w:rFonts w:ascii="Franklin Gothic Medium" w:hAnsi="Franklin Gothic Medium" w:cs="Calibri"/>
                <w:color w:val="1B587C" w:themeColor="accent3"/>
                <w:sz w:val="18"/>
                <w:szCs w:val="18"/>
              </w:rPr>
            </w:pPr>
            <w:hyperlink r:id="rId8" w:history="1">
              <w:r w:rsidR="00583545" w:rsidRPr="001979BF">
                <w:rPr>
                  <w:rStyle w:val="Hyperlink"/>
                  <w:rFonts w:ascii="Franklin Gothic Medium" w:hAnsi="Franklin Gothic Medium" w:cs="Calibri"/>
                  <w:color w:val="1B587C" w:themeColor="accent3"/>
                  <w:sz w:val="18"/>
                  <w:szCs w:val="18"/>
                </w:rPr>
                <w:t>sauerjr@doj.state.wi.us</w:t>
              </w:r>
            </w:hyperlink>
          </w:p>
        </w:tc>
        <w:tc>
          <w:tcPr>
            <w:tcW w:w="3520" w:type="dxa"/>
          </w:tcPr>
          <w:p w14:paraId="56F5880A" w14:textId="77777777" w:rsidR="00583545" w:rsidRPr="001979BF" w:rsidRDefault="00583545" w:rsidP="004B4D33">
            <w:pPr>
              <w:jc w:val="center"/>
              <w:rPr>
                <w:rFonts w:ascii="Franklin Gothic Medium" w:hAnsi="Franklin Gothic Medium" w:cs="Calibri"/>
                <w:color w:val="1B587C" w:themeColor="accent3"/>
                <w:sz w:val="18"/>
                <w:szCs w:val="18"/>
              </w:rPr>
            </w:pPr>
            <w:r w:rsidRPr="001979BF">
              <w:rPr>
                <w:rFonts w:ascii="Franklin Gothic Medium" w:hAnsi="Franklin Gothic Medium" w:cs="Calibri"/>
                <w:color w:val="1B587C" w:themeColor="accent3"/>
                <w:sz w:val="18"/>
                <w:szCs w:val="18"/>
              </w:rPr>
              <w:t>Sabrina Gentile</w:t>
            </w:r>
          </w:p>
          <w:p w14:paraId="2470D960" w14:textId="77777777" w:rsidR="00583545" w:rsidRPr="001979BF" w:rsidRDefault="00583545" w:rsidP="004B4D33">
            <w:pPr>
              <w:jc w:val="center"/>
              <w:rPr>
                <w:rFonts w:ascii="Franklin Gothic Medium" w:hAnsi="Franklin Gothic Medium" w:cs="Calibri"/>
                <w:color w:val="1B587C" w:themeColor="accent3"/>
                <w:sz w:val="18"/>
                <w:szCs w:val="18"/>
              </w:rPr>
            </w:pPr>
            <w:r w:rsidRPr="001979BF">
              <w:rPr>
                <w:rFonts w:ascii="Franklin Gothic Medium" w:hAnsi="Franklin Gothic Medium" w:cs="Calibri"/>
                <w:color w:val="1B587C" w:themeColor="accent3"/>
                <w:sz w:val="18"/>
                <w:szCs w:val="18"/>
              </w:rPr>
              <w:t>Justice Programs Coordinator</w:t>
            </w:r>
          </w:p>
          <w:p w14:paraId="18500760" w14:textId="77777777" w:rsidR="00583545" w:rsidRPr="001979BF" w:rsidRDefault="00583545" w:rsidP="004B4D33">
            <w:pPr>
              <w:jc w:val="center"/>
              <w:rPr>
                <w:rFonts w:ascii="Franklin Gothic Medium" w:hAnsi="Franklin Gothic Medium" w:cs="Calibri"/>
                <w:color w:val="1B587C" w:themeColor="accent3"/>
                <w:sz w:val="18"/>
                <w:szCs w:val="18"/>
              </w:rPr>
            </w:pPr>
            <w:r w:rsidRPr="001979BF">
              <w:rPr>
                <w:rFonts w:ascii="Franklin Gothic Medium" w:hAnsi="Franklin Gothic Medium" w:cs="Calibri"/>
                <w:color w:val="1B587C" w:themeColor="accent3"/>
                <w:sz w:val="18"/>
                <w:szCs w:val="18"/>
              </w:rPr>
              <w:t>608-287-4310</w:t>
            </w:r>
          </w:p>
          <w:p w14:paraId="5137BD00" w14:textId="77777777" w:rsidR="00583545" w:rsidRPr="001979BF" w:rsidRDefault="00725DA9" w:rsidP="004B4D33">
            <w:pPr>
              <w:jc w:val="center"/>
              <w:rPr>
                <w:rFonts w:ascii="Franklin Gothic Medium" w:hAnsi="Franklin Gothic Medium" w:cs="Calibri"/>
                <w:color w:val="1B587C" w:themeColor="accent3"/>
                <w:sz w:val="18"/>
                <w:szCs w:val="18"/>
              </w:rPr>
            </w:pPr>
            <w:hyperlink r:id="rId9" w:history="1">
              <w:r w:rsidR="00583545" w:rsidRPr="001979BF">
                <w:rPr>
                  <w:rStyle w:val="Hyperlink"/>
                  <w:rFonts w:ascii="Franklin Gothic Medium" w:hAnsi="Franklin Gothic Medium" w:cs="Calibri"/>
                  <w:color w:val="1B587C" w:themeColor="accent3"/>
                  <w:sz w:val="18"/>
                  <w:szCs w:val="18"/>
                </w:rPr>
                <w:t>gentilesm@doj.state.wi.us</w:t>
              </w:r>
            </w:hyperlink>
          </w:p>
        </w:tc>
      </w:tr>
    </w:tbl>
    <w:p w14:paraId="33C3129D" w14:textId="19AD6764" w:rsidR="001979BF" w:rsidRPr="001979BF" w:rsidRDefault="006536E7" w:rsidP="006536E7">
      <w:pPr>
        <w:pStyle w:val="Header"/>
        <w:spacing w:before="0"/>
        <w:jc w:val="right"/>
        <w:rPr>
          <w:rFonts w:asciiTheme="majorHAnsi" w:hAnsiTheme="majorHAnsi"/>
          <w:sz w:val="24"/>
          <w:szCs w:val="24"/>
        </w:rPr>
      </w:pPr>
      <w:r>
        <w:rPr>
          <w:b/>
          <w:bCs/>
          <w:color w:val="1B587C" w:themeColor="accent3"/>
        </w:rPr>
        <w:t>Revised 0</w:t>
      </w:r>
      <w:r w:rsidR="0045125D">
        <w:rPr>
          <w:b/>
          <w:bCs/>
          <w:color w:val="1B587C" w:themeColor="accent3"/>
        </w:rPr>
        <w:t>7</w:t>
      </w:r>
      <w:r>
        <w:rPr>
          <w:b/>
          <w:bCs/>
          <w:color w:val="1B587C" w:themeColor="accent3"/>
        </w:rPr>
        <w:t>/2023</w:t>
      </w:r>
    </w:p>
    <w:sectPr w:rsidR="001979BF" w:rsidRPr="001979BF" w:rsidSect="00583545">
      <w:headerReference w:type="first" r:id="rId10"/>
      <w:pgSz w:w="12240" w:h="15840" w:code="1"/>
      <w:pgMar w:top="720" w:right="720" w:bottom="720" w:left="72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0335" w14:textId="77777777" w:rsidR="00BE1EB1" w:rsidRDefault="00BE1EB1" w:rsidP="00E02929">
      <w:pPr>
        <w:spacing w:after="0"/>
      </w:pPr>
      <w:r>
        <w:separator/>
      </w:r>
    </w:p>
    <w:p w14:paraId="6AB3E77C" w14:textId="77777777" w:rsidR="00BE1EB1" w:rsidRDefault="00BE1EB1"/>
  </w:endnote>
  <w:endnote w:type="continuationSeparator" w:id="0">
    <w:p w14:paraId="16B291D9" w14:textId="77777777" w:rsidR="00BE1EB1" w:rsidRDefault="00BE1EB1" w:rsidP="00E02929">
      <w:pPr>
        <w:spacing w:after="0"/>
      </w:pPr>
      <w:r>
        <w:continuationSeparator/>
      </w:r>
    </w:p>
    <w:p w14:paraId="5B91F4AB" w14:textId="77777777" w:rsidR="00BE1EB1" w:rsidRDefault="00BE1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EA00" w14:textId="77777777" w:rsidR="00BE1EB1" w:rsidRDefault="00BE1EB1" w:rsidP="00E02929">
      <w:pPr>
        <w:spacing w:after="0"/>
      </w:pPr>
      <w:r>
        <w:separator/>
      </w:r>
    </w:p>
    <w:p w14:paraId="351CB879" w14:textId="77777777" w:rsidR="00BE1EB1" w:rsidRDefault="00BE1EB1"/>
  </w:footnote>
  <w:footnote w:type="continuationSeparator" w:id="0">
    <w:p w14:paraId="3E60A74A" w14:textId="77777777" w:rsidR="00BE1EB1" w:rsidRDefault="00BE1EB1" w:rsidP="00E02929">
      <w:pPr>
        <w:spacing w:after="0"/>
      </w:pPr>
      <w:r>
        <w:continuationSeparator/>
      </w:r>
    </w:p>
    <w:p w14:paraId="1CFE9F19" w14:textId="77777777" w:rsidR="00BE1EB1" w:rsidRDefault="00BE1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C4CB" w14:textId="60E3729B" w:rsidR="003F389D" w:rsidRPr="005379DF" w:rsidRDefault="003F389D" w:rsidP="005379DF">
    <w:pPr>
      <w:pStyle w:val="Header"/>
      <w:rPr>
        <w:b/>
        <w:bCs/>
        <w:color w:val="1B587C" w:themeColor="accent3"/>
      </w:rPr>
    </w:pPr>
    <w:r>
      <w:rPr>
        <w:b/>
        <w:bCs/>
        <w:color w:val="1B587C" w:themeColor="accent3"/>
      </w:rPr>
      <w:tab/>
    </w:r>
    <w: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5402"/>
    </w:tblGrid>
    <w:tr w:rsidR="006536E7" w14:paraId="33535113" w14:textId="77777777" w:rsidTr="00C427C4">
      <w:tc>
        <w:tcPr>
          <w:tcW w:w="5755" w:type="dxa"/>
        </w:tcPr>
        <w:p w14:paraId="014323FB" w14:textId="77777777" w:rsidR="003F389D" w:rsidRDefault="003F389D" w:rsidP="004F7835">
          <w:pPr>
            <w:pStyle w:val="Header"/>
            <w:spacing w:before="0"/>
            <w:rPr>
              <w:b/>
              <w:bCs/>
              <w:color w:val="1B587C" w:themeColor="accent3"/>
            </w:rPr>
          </w:pPr>
          <w:r w:rsidRPr="003F389D">
            <w:rPr>
              <w:b/>
              <w:bCs/>
              <w:color w:val="1B587C" w:themeColor="accent3"/>
            </w:rPr>
            <w:t>State of Wisconsin</w:t>
          </w:r>
        </w:p>
        <w:p w14:paraId="121C3027" w14:textId="77777777" w:rsidR="003F389D" w:rsidRDefault="003F389D" w:rsidP="004F7835">
          <w:pPr>
            <w:pStyle w:val="Header"/>
            <w:spacing w:before="0"/>
            <w:rPr>
              <w:b/>
              <w:bCs/>
              <w:color w:val="1B587C" w:themeColor="accent3"/>
            </w:rPr>
          </w:pPr>
          <w:r w:rsidRPr="003F389D">
            <w:rPr>
              <w:b/>
              <w:bCs/>
              <w:color w:val="1B587C" w:themeColor="accent3"/>
            </w:rPr>
            <w:t>Department of Justice</w:t>
          </w:r>
        </w:p>
        <w:p w14:paraId="63696132" w14:textId="5E6FF3C6" w:rsidR="006536E7" w:rsidRDefault="006536E7" w:rsidP="004F7835">
          <w:pPr>
            <w:pStyle w:val="Header"/>
            <w:spacing w:before="0"/>
            <w:rPr>
              <w:b/>
              <w:bCs/>
              <w:color w:val="1B587C" w:themeColor="accent3"/>
            </w:rPr>
          </w:pPr>
          <w:r>
            <w:rPr>
              <w:noProof/>
            </w:rPr>
            <w:drawing>
              <wp:inline distT="0" distB="0" distL="0" distR="0" wp14:anchorId="07E7E832" wp14:editId="66C383E7">
                <wp:extent cx="1113183" cy="1113183"/>
                <wp:effectExtent l="0" t="0" r="0" b="0"/>
                <wp:docPr id="2" name="Picture 2"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55" cy="1129055"/>
                        </a:xfrm>
                        <a:prstGeom prst="rect">
                          <a:avLst/>
                        </a:prstGeom>
                        <a:noFill/>
                      </pic:spPr>
                    </pic:pic>
                  </a:graphicData>
                </a:graphic>
              </wp:inline>
            </w:drawing>
          </w:r>
        </w:p>
      </w:tc>
      <w:tc>
        <w:tcPr>
          <w:tcW w:w="5755" w:type="dxa"/>
        </w:tcPr>
        <w:p w14:paraId="5C6C7CAA" w14:textId="09139E09" w:rsidR="006536E7" w:rsidRDefault="006536E7" w:rsidP="004F7835">
          <w:pPr>
            <w:pStyle w:val="Header"/>
            <w:spacing w:before="0"/>
            <w:jc w:val="right"/>
            <w:rPr>
              <w:b/>
              <w:bCs/>
              <w:color w:val="1B587C" w:themeColor="accent3"/>
            </w:rPr>
          </w:pPr>
          <w:r>
            <w:rPr>
              <w:b/>
              <w:bCs/>
              <w:color w:val="1B587C" w:themeColor="accent3"/>
            </w:rPr>
            <w:t>Bureau of Justice Programs</w:t>
          </w:r>
        </w:p>
        <w:p w14:paraId="04A42AF1" w14:textId="06D7D3E2" w:rsidR="006536E7" w:rsidRDefault="006536E7" w:rsidP="004F7835">
          <w:pPr>
            <w:pStyle w:val="Header"/>
            <w:spacing w:before="0"/>
            <w:jc w:val="right"/>
            <w:rPr>
              <w:b/>
              <w:bCs/>
              <w:color w:val="1B587C" w:themeColor="accent3"/>
            </w:rPr>
          </w:pPr>
          <w:r>
            <w:rPr>
              <w:b/>
              <w:bCs/>
              <w:color w:val="1B587C" w:themeColor="accent3"/>
            </w:rPr>
            <w:t>Juvenile Justice Program</w:t>
          </w:r>
          <w:r w:rsidR="00AC6469">
            <w:rPr>
              <w:b/>
              <w:bCs/>
              <w:color w:val="1B587C" w:themeColor="accent3"/>
            </w:rPr>
            <w:t>s</w:t>
          </w:r>
        </w:p>
        <w:p w14:paraId="5CC2AC28" w14:textId="7AA826C3" w:rsidR="002E778E" w:rsidRDefault="006536E7" w:rsidP="004F7835">
          <w:pPr>
            <w:pStyle w:val="Header"/>
            <w:spacing w:before="0"/>
            <w:jc w:val="right"/>
            <w:rPr>
              <w:b/>
              <w:bCs/>
              <w:color w:val="1B587C" w:themeColor="accent3"/>
            </w:rPr>
          </w:pPr>
          <w:r>
            <w:rPr>
              <w:noProof/>
            </w:rPr>
            <w:drawing>
              <wp:inline distT="0" distB="0" distL="0" distR="0" wp14:anchorId="2181E7E3" wp14:editId="317A3B51">
                <wp:extent cx="1095375" cy="1095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r>
  </w:tbl>
  <w:p w14:paraId="5FDD158C" w14:textId="10791874" w:rsidR="003F389D" w:rsidRPr="003F389D" w:rsidRDefault="003F389D" w:rsidP="004F7835">
    <w:pPr>
      <w:pStyle w:val="Header"/>
      <w:tabs>
        <w:tab w:val="left" w:pos="3240"/>
      </w:tabs>
      <w:spacing w:before="0" w:after="0"/>
      <w:contextualSpacing/>
      <w:rPr>
        <w:b/>
        <w:bCs/>
        <w:color w:val="1B587C" w:themeColor="accent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C57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16E4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822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16B05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264ED794"/>
    <w:lvl w:ilvl="0">
      <w:start w:val="1"/>
      <w:numFmt w:val="decimal"/>
      <w:lvlText w:val="%1."/>
      <w:lvlJc w:val="left"/>
      <w:pPr>
        <w:tabs>
          <w:tab w:val="num" w:pos="360"/>
        </w:tabs>
        <w:ind w:left="360" w:hanging="360"/>
      </w:pPr>
    </w:lvl>
  </w:abstractNum>
  <w:abstractNum w:abstractNumId="5" w15:restartNumberingAfterBreak="0">
    <w:nsid w:val="06E22D32"/>
    <w:multiLevelType w:val="hybridMultilevel"/>
    <w:tmpl w:val="127C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C7317"/>
    <w:multiLevelType w:val="hybridMultilevel"/>
    <w:tmpl w:val="F83CA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6A7860"/>
    <w:multiLevelType w:val="multilevel"/>
    <w:tmpl w:val="AE2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1998276">
    <w:abstractNumId w:val="4"/>
  </w:num>
  <w:num w:numId="2" w16cid:durableId="1016619017">
    <w:abstractNumId w:val="3"/>
  </w:num>
  <w:num w:numId="3" w16cid:durableId="476069065">
    <w:abstractNumId w:val="2"/>
  </w:num>
  <w:num w:numId="4" w16cid:durableId="576133107">
    <w:abstractNumId w:val="1"/>
  </w:num>
  <w:num w:numId="5" w16cid:durableId="758213084">
    <w:abstractNumId w:val="0"/>
  </w:num>
  <w:num w:numId="6" w16cid:durableId="1284193764">
    <w:abstractNumId w:val="5"/>
  </w:num>
  <w:num w:numId="7" w16cid:durableId="584917707">
    <w:abstractNumId w:val="6"/>
  </w:num>
  <w:num w:numId="8" w16cid:durableId="3422415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B1"/>
    <w:rsid w:val="00002E34"/>
    <w:rsid w:val="000260A9"/>
    <w:rsid w:val="0005079C"/>
    <w:rsid w:val="00057C8F"/>
    <w:rsid w:val="00073383"/>
    <w:rsid w:val="000733CB"/>
    <w:rsid w:val="000776F6"/>
    <w:rsid w:val="000A2523"/>
    <w:rsid w:val="000B7024"/>
    <w:rsid w:val="000C215D"/>
    <w:rsid w:val="000C321B"/>
    <w:rsid w:val="000D6003"/>
    <w:rsid w:val="00102ED1"/>
    <w:rsid w:val="00105139"/>
    <w:rsid w:val="0010791C"/>
    <w:rsid w:val="00113528"/>
    <w:rsid w:val="00113AB2"/>
    <w:rsid w:val="00121134"/>
    <w:rsid w:val="0013652A"/>
    <w:rsid w:val="001434A1"/>
    <w:rsid w:val="00145D68"/>
    <w:rsid w:val="00154B22"/>
    <w:rsid w:val="00166CFC"/>
    <w:rsid w:val="0017004A"/>
    <w:rsid w:val="00174F1B"/>
    <w:rsid w:val="00176265"/>
    <w:rsid w:val="001960E4"/>
    <w:rsid w:val="001979BF"/>
    <w:rsid w:val="001A58E9"/>
    <w:rsid w:val="001B0C6F"/>
    <w:rsid w:val="001D2D76"/>
    <w:rsid w:val="001D4197"/>
    <w:rsid w:val="001D606D"/>
    <w:rsid w:val="001E3F43"/>
    <w:rsid w:val="001F31F6"/>
    <w:rsid w:val="0020390E"/>
    <w:rsid w:val="00227113"/>
    <w:rsid w:val="00240B38"/>
    <w:rsid w:val="00241E17"/>
    <w:rsid w:val="00243664"/>
    <w:rsid w:val="00251688"/>
    <w:rsid w:val="002517EA"/>
    <w:rsid w:val="00256B6A"/>
    <w:rsid w:val="00272E03"/>
    <w:rsid w:val="00274D9E"/>
    <w:rsid w:val="00290F0F"/>
    <w:rsid w:val="00292EF3"/>
    <w:rsid w:val="0029418F"/>
    <w:rsid w:val="00297308"/>
    <w:rsid w:val="002A5266"/>
    <w:rsid w:val="002E778E"/>
    <w:rsid w:val="002F76D3"/>
    <w:rsid w:val="003120E0"/>
    <w:rsid w:val="00321270"/>
    <w:rsid w:val="00321957"/>
    <w:rsid w:val="00321F35"/>
    <w:rsid w:val="0033460E"/>
    <w:rsid w:val="00350F4C"/>
    <w:rsid w:val="00356BB9"/>
    <w:rsid w:val="00357815"/>
    <w:rsid w:val="003620EB"/>
    <w:rsid w:val="0038652D"/>
    <w:rsid w:val="00386800"/>
    <w:rsid w:val="00392E08"/>
    <w:rsid w:val="00393D6F"/>
    <w:rsid w:val="003C0093"/>
    <w:rsid w:val="003C1FC0"/>
    <w:rsid w:val="003C3319"/>
    <w:rsid w:val="003C46A7"/>
    <w:rsid w:val="003C78CB"/>
    <w:rsid w:val="003D6565"/>
    <w:rsid w:val="003E7F9E"/>
    <w:rsid w:val="003F389D"/>
    <w:rsid w:val="0041505F"/>
    <w:rsid w:val="004257E0"/>
    <w:rsid w:val="0044378E"/>
    <w:rsid w:val="004502DA"/>
    <w:rsid w:val="0045125D"/>
    <w:rsid w:val="004537C5"/>
    <w:rsid w:val="00455B87"/>
    <w:rsid w:val="00465B79"/>
    <w:rsid w:val="00467BF6"/>
    <w:rsid w:val="00493148"/>
    <w:rsid w:val="00495301"/>
    <w:rsid w:val="004A234F"/>
    <w:rsid w:val="004C2E5F"/>
    <w:rsid w:val="004C7FCF"/>
    <w:rsid w:val="004D3ECE"/>
    <w:rsid w:val="004E0ADB"/>
    <w:rsid w:val="004F7835"/>
    <w:rsid w:val="00504074"/>
    <w:rsid w:val="005235FF"/>
    <w:rsid w:val="00527C72"/>
    <w:rsid w:val="00535BDC"/>
    <w:rsid w:val="005379DF"/>
    <w:rsid w:val="005446E7"/>
    <w:rsid w:val="00554FFA"/>
    <w:rsid w:val="00581498"/>
    <w:rsid w:val="00583545"/>
    <w:rsid w:val="005848AD"/>
    <w:rsid w:val="00587DBA"/>
    <w:rsid w:val="005962F4"/>
    <w:rsid w:val="005974FB"/>
    <w:rsid w:val="005A2C96"/>
    <w:rsid w:val="005A34F2"/>
    <w:rsid w:val="005A49E4"/>
    <w:rsid w:val="005B3472"/>
    <w:rsid w:val="005C4039"/>
    <w:rsid w:val="005D2F71"/>
    <w:rsid w:val="005E10C3"/>
    <w:rsid w:val="005E2860"/>
    <w:rsid w:val="005F4C34"/>
    <w:rsid w:val="005F61B2"/>
    <w:rsid w:val="005F74AD"/>
    <w:rsid w:val="00607D89"/>
    <w:rsid w:val="00610040"/>
    <w:rsid w:val="00631F6B"/>
    <w:rsid w:val="006354D7"/>
    <w:rsid w:val="00647E9D"/>
    <w:rsid w:val="006536E7"/>
    <w:rsid w:val="006631A9"/>
    <w:rsid w:val="00667735"/>
    <w:rsid w:val="00677F5B"/>
    <w:rsid w:val="00696F79"/>
    <w:rsid w:val="00697EB2"/>
    <w:rsid w:val="006B7FF7"/>
    <w:rsid w:val="006C38E5"/>
    <w:rsid w:val="006D1885"/>
    <w:rsid w:val="006D7E96"/>
    <w:rsid w:val="006E1492"/>
    <w:rsid w:val="00706A6D"/>
    <w:rsid w:val="00717354"/>
    <w:rsid w:val="00723158"/>
    <w:rsid w:val="00725DA9"/>
    <w:rsid w:val="007455C5"/>
    <w:rsid w:val="00781081"/>
    <w:rsid w:val="00785B50"/>
    <w:rsid w:val="00791ED5"/>
    <w:rsid w:val="0079407F"/>
    <w:rsid w:val="00794F82"/>
    <w:rsid w:val="00797B40"/>
    <w:rsid w:val="007A10CB"/>
    <w:rsid w:val="007A1121"/>
    <w:rsid w:val="007A565D"/>
    <w:rsid w:val="007B168C"/>
    <w:rsid w:val="007B57C2"/>
    <w:rsid w:val="007E5ECD"/>
    <w:rsid w:val="008105F2"/>
    <w:rsid w:val="00813E52"/>
    <w:rsid w:val="0081578A"/>
    <w:rsid w:val="00825C42"/>
    <w:rsid w:val="008411EF"/>
    <w:rsid w:val="00842B74"/>
    <w:rsid w:val="00872777"/>
    <w:rsid w:val="008957B1"/>
    <w:rsid w:val="008A2200"/>
    <w:rsid w:val="008C30B1"/>
    <w:rsid w:val="008C76E8"/>
    <w:rsid w:val="008D41C8"/>
    <w:rsid w:val="008E3A9C"/>
    <w:rsid w:val="008E448C"/>
    <w:rsid w:val="008F6ADB"/>
    <w:rsid w:val="00913758"/>
    <w:rsid w:val="00923E5C"/>
    <w:rsid w:val="0093672F"/>
    <w:rsid w:val="00974E1C"/>
    <w:rsid w:val="00983FF5"/>
    <w:rsid w:val="009C3DB1"/>
    <w:rsid w:val="009C3F23"/>
    <w:rsid w:val="009C59E8"/>
    <w:rsid w:val="009D6CA7"/>
    <w:rsid w:val="009F18DD"/>
    <w:rsid w:val="00A01BF8"/>
    <w:rsid w:val="00A14DE6"/>
    <w:rsid w:val="00A1749D"/>
    <w:rsid w:val="00A20CB4"/>
    <w:rsid w:val="00A22F77"/>
    <w:rsid w:val="00A269E5"/>
    <w:rsid w:val="00A36711"/>
    <w:rsid w:val="00A45804"/>
    <w:rsid w:val="00A60984"/>
    <w:rsid w:val="00A63AD2"/>
    <w:rsid w:val="00A653DA"/>
    <w:rsid w:val="00A87814"/>
    <w:rsid w:val="00AA224B"/>
    <w:rsid w:val="00AA7CD0"/>
    <w:rsid w:val="00AB2FD7"/>
    <w:rsid w:val="00AB739B"/>
    <w:rsid w:val="00AC6469"/>
    <w:rsid w:val="00AC7B70"/>
    <w:rsid w:val="00AD254B"/>
    <w:rsid w:val="00AE69CF"/>
    <w:rsid w:val="00AF1675"/>
    <w:rsid w:val="00B01B43"/>
    <w:rsid w:val="00B3180D"/>
    <w:rsid w:val="00B41BE0"/>
    <w:rsid w:val="00B420A5"/>
    <w:rsid w:val="00B42B3B"/>
    <w:rsid w:val="00B45802"/>
    <w:rsid w:val="00B46125"/>
    <w:rsid w:val="00B4785A"/>
    <w:rsid w:val="00B74001"/>
    <w:rsid w:val="00B77E10"/>
    <w:rsid w:val="00B83AB0"/>
    <w:rsid w:val="00B90FED"/>
    <w:rsid w:val="00B976A6"/>
    <w:rsid w:val="00BA0F5B"/>
    <w:rsid w:val="00BB4CB0"/>
    <w:rsid w:val="00BC5203"/>
    <w:rsid w:val="00BD2C9E"/>
    <w:rsid w:val="00BE05B1"/>
    <w:rsid w:val="00BE1EB1"/>
    <w:rsid w:val="00BE36A4"/>
    <w:rsid w:val="00BE76A7"/>
    <w:rsid w:val="00BF4102"/>
    <w:rsid w:val="00C03C30"/>
    <w:rsid w:val="00C12475"/>
    <w:rsid w:val="00C326EC"/>
    <w:rsid w:val="00C427C4"/>
    <w:rsid w:val="00C43AF8"/>
    <w:rsid w:val="00C551F8"/>
    <w:rsid w:val="00C70304"/>
    <w:rsid w:val="00C73764"/>
    <w:rsid w:val="00C8317B"/>
    <w:rsid w:val="00CA3293"/>
    <w:rsid w:val="00CA33F0"/>
    <w:rsid w:val="00CA4D00"/>
    <w:rsid w:val="00CA5660"/>
    <w:rsid w:val="00CB4B76"/>
    <w:rsid w:val="00CC0778"/>
    <w:rsid w:val="00CD6803"/>
    <w:rsid w:val="00D04944"/>
    <w:rsid w:val="00D05E23"/>
    <w:rsid w:val="00D11BC5"/>
    <w:rsid w:val="00D2485D"/>
    <w:rsid w:val="00D265FC"/>
    <w:rsid w:val="00D44CEE"/>
    <w:rsid w:val="00D75D92"/>
    <w:rsid w:val="00D80642"/>
    <w:rsid w:val="00D85801"/>
    <w:rsid w:val="00D9659E"/>
    <w:rsid w:val="00DA3872"/>
    <w:rsid w:val="00DB6653"/>
    <w:rsid w:val="00DC0B39"/>
    <w:rsid w:val="00DD7290"/>
    <w:rsid w:val="00DE1834"/>
    <w:rsid w:val="00DF3922"/>
    <w:rsid w:val="00DF625C"/>
    <w:rsid w:val="00E02929"/>
    <w:rsid w:val="00E05132"/>
    <w:rsid w:val="00E06FC8"/>
    <w:rsid w:val="00E16F2B"/>
    <w:rsid w:val="00E219DC"/>
    <w:rsid w:val="00E30731"/>
    <w:rsid w:val="00E377BF"/>
    <w:rsid w:val="00E443B7"/>
    <w:rsid w:val="00E62C63"/>
    <w:rsid w:val="00E64456"/>
    <w:rsid w:val="00E7072B"/>
    <w:rsid w:val="00EA7D5B"/>
    <w:rsid w:val="00EC0CF1"/>
    <w:rsid w:val="00EC1F4E"/>
    <w:rsid w:val="00EC1F53"/>
    <w:rsid w:val="00EC220D"/>
    <w:rsid w:val="00ED333F"/>
    <w:rsid w:val="00F06320"/>
    <w:rsid w:val="00F0767F"/>
    <w:rsid w:val="00F12565"/>
    <w:rsid w:val="00F30471"/>
    <w:rsid w:val="00F363E7"/>
    <w:rsid w:val="00F41939"/>
    <w:rsid w:val="00F81CA0"/>
    <w:rsid w:val="00F90185"/>
    <w:rsid w:val="00FD3E75"/>
    <w:rsid w:val="00FD6924"/>
    <w:rsid w:val="00FE046F"/>
    <w:rsid w:val="00FE08F3"/>
    <w:rsid w:val="00FF0D00"/>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71D8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51688"/>
    <w:rPr>
      <w:color w:val="auto"/>
      <w:kern w:val="20"/>
    </w:rPr>
  </w:style>
  <w:style w:type="paragraph" w:styleId="Heading1">
    <w:name w:val="heading 1"/>
    <w:basedOn w:val="Normal"/>
    <w:link w:val="Heading1Char"/>
    <w:uiPriority w:val="2"/>
    <w:qFormat/>
    <w:rsid w:val="001960E4"/>
    <w:pPr>
      <w:spacing w:before="0" w:after="60"/>
      <w:contextualSpacing/>
      <w:outlineLvl w:val="0"/>
    </w:pPr>
    <w:rPr>
      <w:rFonts w:asciiTheme="majorHAnsi" w:eastAsiaTheme="majorEastAsia" w:hAnsiTheme="majorHAnsi" w:cstheme="majorBidi"/>
      <w:b/>
      <w:caps/>
      <w:color w:val="1B587C" w:themeColor="accent3"/>
      <w:sz w:val="24"/>
      <w:szCs w:val="32"/>
    </w:rPr>
  </w:style>
  <w:style w:type="paragraph" w:styleId="Heading2">
    <w:name w:val="heading 2"/>
    <w:basedOn w:val="Normal"/>
    <w:link w:val="Heading2Char"/>
    <w:uiPriority w:val="3"/>
    <w:unhideWhenUsed/>
    <w:qFormat/>
    <w:rsid w:val="001A58E9"/>
    <w:pPr>
      <w:keepNext/>
      <w:keepLines/>
      <w:spacing w:after="0"/>
      <w:outlineLvl w:val="1"/>
    </w:pPr>
    <w:rPr>
      <w:rFonts w:eastAsiaTheme="majorEastAsia" w:cstheme="majorBidi"/>
      <w:caps/>
      <w:color w:val="FFFFFF" w:themeColor="background1"/>
      <w:szCs w:val="26"/>
    </w:rPr>
  </w:style>
  <w:style w:type="paragraph" w:styleId="Heading3">
    <w:name w:val="heading 3"/>
    <w:basedOn w:val="Normal"/>
    <w:next w:val="Normal"/>
    <w:link w:val="Heading3Char"/>
    <w:uiPriority w:val="3"/>
    <w:unhideWhenUsed/>
    <w:qFormat/>
    <w:rsid w:val="00C12475"/>
    <w:pPr>
      <w:keepNext/>
      <w:keepLines/>
      <w:spacing w:after="0"/>
      <w:outlineLvl w:val="2"/>
    </w:pPr>
    <w:rPr>
      <w:rFonts w:asciiTheme="majorHAnsi" w:eastAsiaTheme="majorEastAsia" w:hAnsiTheme="majorHAnsi" w:cstheme="majorBidi"/>
      <w:b/>
      <w:i/>
      <w:color w:val="30243C" w:themeColor="accent5" w:themeShade="80"/>
      <w:sz w:val="22"/>
      <w:szCs w:val="24"/>
    </w:rPr>
  </w:style>
  <w:style w:type="paragraph" w:styleId="Heading4">
    <w:name w:val="heading 4"/>
    <w:basedOn w:val="Normal"/>
    <w:next w:val="Normal"/>
    <w:link w:val="Heading4Char"/>
    <w:uiPriority w:val="3"/>
    <w:semiHidden/>
    <w:unhideWhenUsed/>
    <w:qFormat/>
    <w:rsid w:val="00C12475"/>
    <w:pPr>
      <w:keepNext/>
      <w:keepLines/>
      <w:spacing w:after="0"/>
      <w:outlineLvl w:val="3"/>
    </w:pPr>
    <w:rPr>
      <w:rFonts w:asciiTheme="majorHAnsi" w:eastAsiaTheme="majorEastAsia" w:hAnsiTheme="majorHAnsi" w:cstheme="majorBidi"/>
      <w:b/>
      <w:i/>
      <w:iCs/>
      <w:color w:val="664D26" w:themeColor="accent6" w:themeShade="80"/>
      <w:sz w:val="22"/>
    </w:rPr>
  </w:style>
  <w:style w:type="paragraph" w:styleId="Heading5">
    <w:name w:val="heading 5"/>
    <w:basedOn w:val="Normal"/>
    <w:next w:val="Normal"/>
    <w:link w:val="Heading5Char"/>
    <w:uiPriority w:val="3"/>
    <w:semiHidden/>
    <w:unhideWhenUsed/>
    <w:qFormat/>
    <w:rsid w:val="00C12475"/>
    <w:pPr>
      <w:keepNext/>
      <w:keepLines/>
      <w:spacing w:after="0"/>
      <w:outlineLvl w:val="4"/>
    </w:pPr>
    <w:rPr>
      <w:rFonts w:asciiTheme="majorHAnsi" w:eastAsiaTheme="majorEastAsia" w:hAnsiTheme="majorHAnsi" w:cstheme="majorBidi"/>
      <w:b/>
      <w:color w:val="989898" w:themeColor="text2" w:themeTint="80"/>
      <w:sz w:val="22"/>
    </w:rPr>
  </w:style>
  <w:style w:type="paragraph" w:styleId="Heading6">
    <w:name w:val="heading 6"/>
    <w:basedOn w:val="Normal"/>
    <w:next w:val="Normal"/>
    <w:link w:val="Heading6Char"/>
    <w:uiPriority w:val="3"/>
    <w:semiHidden/>
    <w:unhideWhenUsed/>
    <w:qFormat/>
    <w:rsid w:val="00C12475"/>
    <w:pPr>
      <w:keepNext/>
      <w:keepLines/>
      <w:spacing w:after="0"/>
      <w:outlineLvl w:val="5"/>
    </w:pPr>
    <w:rPr>
      <w:rFonts w:asciiTheme="majorHAnsi" w:eastAsiaTheme="majorEastAsia" w:hAnsiTheme="majorHAnsi" w:cstheme="majorBidi"/>
      <w:color w:val="B35E06" w:themeColor="accent1" w:themeShade="BF"/>
      <w:sz w:val="22"/>
    </w:rPr>
  </w:style>
  <w:style w:type="paragraph" w:styleId="Heading7">
    <w:name w:val="heading 7"/>
    <w:basedOn w:val="Normal"/>
    <w:next w:val="Normal"/>
    <w:link w:val="Heading7Char"/>
    <w:uiPriority w:val="3"/>
    <w:semiHidden/>
    <w:unhideWhenUsed/>
    <w:qFormat/>
    <w:rsid w:val="00C12475"/>
    <w:pPr>
      <w:keepNext/>
      <w:keepLines/>
      <w:spacing w:after="0"/>
      <w:outlineLvl w:val="6"/>
    </w:pPr>
    <w:rPr>
      <w:rFonts w:asciiTheme="majorHAnsi" w:eastAsiaTheme="majorEastAsia" w:hAnsiTheme="majorHAnsi" w:cstheme="majorBidi"/>
      <w:iCs/>
      <w:color w:val="404040" w:themeColor="text1" w:themeTint="BF"/>
      <w:sz w:val="22"/>
    </w:rPr>
  </w:style>
  <w:style w:type="paragraph" w:styleId="Heading8">
    <w:name w:val="heading 8"/>
    <w:basedOn w:val="Normal"/>
    <w:next w:val="Normal"/>
    <w:link w:val="Heading8Char"/>
    <w:uiPriority w:val="3"/>
    <w:semiHidden/>
    <w:unhideWhenUsed/>
    <w:qFormat/>
    <w:rsid w:val="00C12475"/>
    <w:pPr>
      <w:keepNext/>
      <w:keepLines/>
      <w:spacing w:after="0"/>
      <w:outlineLvl w:val="7"/>
    </w:pPr>
    <w:rPr>
      <w:rFonts w:asciiTheme="majorHAnsi" w:eastAsiaTheme="majorEastAsia" w:hAnsiTheme="majorHAnsi" w:cstheme="majorBidi"/>
      <w:b/>
      <w:i/>
      <w:color w:val="272727" w:themeColor="text1" w:themeTint="D8"/>
      <w:sz w:val="22"/>
      <w:szCs w:val="21"/>
    </w:rPr>
  </w:style>
  <w:style w:type="paragraph" w:styleId="Heading9">
    <w:name w:val="heading 9"/>
    <w:basedOn w:val="Normal"/>
    <w:next w:val="Normal"/>
    <w:link w:val="Heading9Char"/>
    <w:uiPriority w:val="3"/>
    <w:semiHidden/>
    <w:unhideWhenUsed/>
    <w:qFormat/>
    <w:rsid w:val="00C12475"/>
    <w:pPr>
      <w:keepNext/>
      <w:keepLines/>
      <w:spacing w:after="0"/>
      <w:outlineLvl w:val="8"/>
    </w:pPr>
    <w:rPr>
      <w:rFonts w:asciiTheme="majorHAnsi" w:eastAsiaTheme="majorEastAsia" w:hAnsiTheme="majorHAnsi" w:cstheme="majorBidi"/>
      <w:i/>
      <w:iCs/>
      <w:color w:val="0D0D0D" w:themeColor="text1" w:themeTint="F2"/>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90FED"/>
    <w:pPr>
      <w:spacing w:before="400" w:after="160"/>
      <w:contextualSpacing/>
      <w:jc w:val="center"/>
    </w:pPr>
    <w:rPr>
      <w:rFonts w:asciiTheme="majorHAnsi" w:eastAsiaTheme="majorEastAsia" w:hAnsiTheme="majorHAnsi" w:cstheme="majorBidi"/>
      <w:caps/>
      <w:color w:val="1B587C" w:themeColor="accent3"/>
      <w:kern w:val="28"/>
      <w:sz w:val="72"/>
      <w:szCs w:val="56"/>
    </w:rPr>
  </w:style>
  <w:style w:type="character" w:customStyle="1" w:styleId="TitleChar">
    <w:name w:val="Title Char"/>
    <w:basedOn w:val="DefaultParagraphFont"/>
    <w:link w:val="Title"/>
    <w:uiPriority w:val="1"/>
    <w:rsid w:val="00B90FED"/>
    <w:rPr>
      <w:rFonts w:asciiTheme="majorHAnsi" w:eastAsiaTheme="majorEastAsia" w:hAnsiTheme="majorHAnsi" w:cstheme="majorBidi"/>
      <w:caps/>
      <w:color w:val="1B587C" w:themeColor="accent3"/>
      <w:kern w:val="28"/>
      <w:sz w:val="72"/>
      <w:szCs w:val="56"/>
    </w:rPr>
  </w:style>
  <w:style w:type="paragraph" w:styleId="Subtitle">
    <w:name w:val="Subtitle"/>
    <w:basedOn w:val="Normal"/>
    <w:link w:val="SubtitleChar"/>
    <w:uiPriority w:val="11"/>
    <w:semiHidden/>
    <w:unhideWhenUsed/>
    <w:qFormat/>
    <w:rsid w:val="008E3A9C"/>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E3A9C"/>
    <w:rPr>
      <w:rFonts w:eastAsiaTheme="minorEastAsia"/>
      <w:color w:val="5A5A5A" w:themeColor="text1" w:themeTint="A5"/>
      <w:kern w:val="20"/>
    </w:rPr>
  </w:style>
  <w:style w:type="paragraph" w:styleId="Header">
    <w:name w:val="header"/>
    <w:basedOn w:val="Normal"/>
    <w:link w:val="HeaderChar"/>
    <w:uiPriority w:val="99"/>
    <w:rsid w:val="00145D68"/>
  </w:style>
  <w:style w:type="character" w:customStyle="1" w:styleId="HeaderChar">
    <w:name w:val="Header Char"/>
    <w:basedOn w:val="DefaultParagraphFont"/>
    <w:link w:val="Header"/>
    <w:uiPriority w:val="99"/>
    <w:rsid w:val="00145D68"/>
    <w:rPr>
      <w:kern w:val="20"/>
    </w:rPr>
  </w:style>
  <w:style w:type="paragraph" w:styleId="Footer">
    <w:name w:val="footer"/>
    <w:basedOn w:val="Normal"/>
    <w:link w:val="FooterChar"/>
    <w:uiPriority w:val="6"/>
    <w:unhideWhenUsed/>
    <w:rsid w:val="008E3A9C"/>
    <w:pPr>
      <w:pBdr>
        <w:top w:val="single" w:sz="4" w:space="6" w:color="F9B268" w:themeColor="accent1" w:themeTint="99"/>
      </w:pBdr>
      <w:spacing w:after="0"/>
    </w:pPr>
  </w:style>
  <w:style w:type="character" w:customStyle="1" w:styleId="FooterChar">
    <w:name w:val="Footer Char"/>
    <w:basedOn w:val="DefaultParagraphFont"/>
    <w:link w:val="Footer"/>
    <w:uiPriority w:val="6"/>
    <w:rsid w:val="008E3A9C"/>
    <w:rPr>
      <w:kern w:val="20"/>
    </w:rPr>
  </w:style>
  <w:style w:type="table" w:styleId="TableGrid">
    <w:name w:val="Table Grid"/>
    <w:basedOn w:val="TableNormal"/>
    <w:uiPriority w:val="39"/>
    <w:rsid w:val="00E029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960E4"/>
    <w:rPr>
      <w:rFonts w:asciiTheme="majorHAnsi" w:eastAsiaTheme="majorEastAsia" w:hAnsiTheme="majorHAnsi" w:cstheme="majorBidi"/>
      <w:b/>
      <w:caps/>
      <w:color w:val="1B587C" w:themeColor="accent3"/>
      <w:kern w:val="20"/>
      <w:sz w:val="24"/>
      <w:szCs w:val="32"/>
    </w:rPr>
  </w:style>
  <w:style w:type="table" w:customStyle="1" w:styleId="StatusReportTable">
    <w:name w:val="Status Report Table"/>
    <w:basedOn w:val="TableNormal"/>
    <w:uiPriority w:val="99"/>
    <w:rsid w:val="004257E0"/>
    <w:rPr>
      <w:color w:val="FFFFFF" w:themeColor="background1"/>
    </w:rPr>
    <w:tblPr>
      <w:tblBorders>
        <w:insideH w:val="single" w:sz="12" w:space="0" w:color="FFFFFF" w:themeColor="background1"/>
        <w:insideV w:val="single" w:sz="12" w:space="0" w:color="FFFFFF" w:themeColor="background1"/>
      </w:tblBorders>
    </w:tblPr>
    <w:tcPr>
      <w:shd w:val="clear" w:color="auto" w:fill="FDE5CC"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1B587C" w:themeFill="accent3"/>
      </w:tcPr>
    </w:tblStylePr>
  </w:style>
  <w:style w:type="paragraph" w:styleId="BalloonText">
    <w:name w:val="Balloon Text"/>
    <w:basedOn w:val="Normal"/>
    <w:link w:val="BalloonTextChar"/>
    <w:uiPriority w:val="99"/>
    <w:semiHidden/>
    <w:unhideWhenUsed/>
    <w:rsid w:val="00CA329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293"/>
    <w:rPr>
      <w:rFonts w:ascii="Segoe UI" w:hAnsi="Segoe UI" w:cs="Segoe UI"/>
      <w:sz w:val="18"/>
      <w:szCs w:val="18"/>
    </w:rPr>
  </w:style>
  <w:style w:type="character" w:styleId="Strong">
    <w:name w:val="Strong"/>
    <w:basedOn w:val="DefaultParagraphFont"/>
    <w:uiPriority w:val="4"/>
    <w:qFormat/>
    <w:rsid w:val="00B90FED"/>
    <w:rPr>
      <w:rFonts w:asciiTheme="majorHAnsi" w:hAnsiTheme="majorHAnsi"/>
      <w:b/>
      <w:bCs/>
      <w:color w:val="9F2936" w:themeColor="accent2"/>
      <w:sz w:val="24"/>
    </w:rPr>
  </w:style>
  <w:style w:type="character" w:customStyle="1" w:styleId="Heading2Char">
    <w:name w:val="Heading 2 Char"/>
    <w:basedOn w:val="DefaultParagraphFont"/>
    <w:link w:val="Heading2"/>
    <w:uiPriority w:val="3"/>
    <w:rsid w:val="001A58E9"/>
    <w:rPr>
      <w:rFonts w:eastAsiaTheme="majorEastAsia" w:cstheme="majorBidi"/>
      <w:caps/>
      <w:color w:val="FFFFFF" w:themeColor="background1"/>
      <w:kern w:val="20"/>
      <w:szCs w:val="26"/>
    </w:rPr>
  </w:style>
  <w:style w:type="paragraph" w:customStyle="1" w:styleId="Graphic">
    <w:name w:val="Graphic"/>
    <w:basedOn w:val="Normal"/>
    <w:uiPriority w:val="5"/>
    <w:qFormat/>
    <w:rsid w:val="00BB4CB0"/>
    <w:pPr>
      <w:spacing w:after="0"/>
      <w:ind w:right="14"/>
      <w:jc w:val="right"/>
    </w:pPr>
    <w:rPr>
      <w:noProof/>
    </w:rPr>
  </w:style>
  <w:style w:type="character" w:styleId="PlaceholderText">
    <w:name w:val="Placeholder Text"/>
    <w:basedOn w:val="DefaultParagraphFont"/>
    <w:uiPriority w:val="99"/>
    <w:semiHidden/>
    <w:rsid w:val="003C1FC0"/>
    <w:rPr>
      <w:color w:val="808080"/>
    </w:rPr>
  </w:style>
  <w:style w:type="paragraph" w:styleId="TOCHeading">
    <w:name w:val="TOC Heading"/>
    <w:basedOn w:val="Heading1"/>
    <w:next w:val="Normal"/>
    <w:uiPriority w:val="39"/>
    <w:semiHidden/>
    <w:unhideWhenUsed/>
    <w:qFormat/>
    <w:rsid w:val="00C73764"/>
    <w:pPr>
      <w:pBdr>
        <w:top w:val="single" w:sz="4" w:space="1" w:color="F07F09" w:themeColor="accent1"/>
        <w:left w:val="single" w:sz="4" w:space="4" w:color="F07F09" w:themeColor="accent1"/>
        <w:bottom w:val="single" w:sz="4" w:space="1" w:color="F07F09" w:themeColor="accent1"/>
        <w:right w:val="single" w:sz="4" w:space="4" w:color="F07F09" w:themeColor="accent1"/>
      </w:pBdr>
    </w:pPr>
  </w:style>
  <w:style w:type="character" w:customStyle="1" w:styleId="Heading3Char">
    <w:name w:val="Heading 3 Char"/>
    <w:basedOn w:val="DefaultParagraphFont"/>
    <w:link w:val="Heading3"/>
    <w:uiPriority w:val="3"/>
    <w:rsid w:val="00C12475"/>
    <w:rPr>
      <w:rFonts w:asciiTheme="majorHAnsi" w:eastAsiaTheme="majorEastAsia" w:hAnsiTheme="majorHAnsi" w:cstheme="majorBidi"/>
      <w:b/>
      <w:i/>
      <w:color w:val="30243C" w:themeColor="accent5" w:themeShade="80"/>
      <w:kern w:val="20"/>
      <w:sz w:val="22"/>
      <w:szCs w:val="24"/>
    </w:rPr>
  </w:style>
  <w:style w:type="character" w:customStyle="1" w:styleId="Heading4Char">
    <w:name w:val="Heading 4 Char"/>
    <w:basedOn w:val="DefaultParagraphFont"/>
    <w:link w:val="Heading4"/>
    <w:uiPriority w:val="3"/>
    <w:semiHidden/>
    <w:rsid w:val="00C12475"/>
    <w:rPr>
      <w:rFonts w:asciiTheme="majorHAnsi" w:eastAsiaTheme="majorEastAsia" w:hAnsiTheme="majorHAnsi" w:cstheme="majorBidi"/>
      <w:b/>
      <w:i/>
      <w:iCs/>
      <w:color w:val="664D26" w:themeColor="accent6" w:themeShade="80"/>
      <w:kern w:val="20"/>
      <w:sz w:val="22"/>
    </w:rPr>
  </w:style>
  <w:style w:type="character" w:customStyle="1" w:styleId="Heading5Char">
    <w:name w:val="Heading 5 Char"/>
    <w:basedOn w:val="DefaultParagraphFont"/>
    <w:link w:val="Heading5"/>
    <w:uiPriority w:val="3"/>
    <w:semiHidden/>
    <w:rsid w:val="00C12475"/>
    <w:rPr>
      <w:rFonts w:asciiTheme="majorHAnsi" w:eastAsiaTheme="majorEastAsia" w:hAnsiTheme="majorHAnsi" w:cstheme="majorBidi"/>
      <w:b/>
      <w:color w:val="989898" w:themeColor="text2" w:themeTint="80"/>
      <w:kern w:val="20"/>
      <w:sz w:val="22"/>
    </w:rPr>
  </w:style>
  <w:style w:type="character" w:customStyle="1" w:styleId="Heading6Char">
    <w:name w:val="Heading 6 Char"/>
    <w:basedOn w:val="DefaultParagraphFont"/>
    <w:link w:val="Heading6"/>
    <w:uiPriority w:val="3"/>
    <w:semiHidden/>
    <w:rsid w:val="00C12475"/>
    <w:rPr>
      <w:rFonts w:asciiTheme="majorHAnsi" w:eastAsiaTheme="majorEastAsia" w:hAnsiTheme="majorHAnsi" w:cstheme="majorBidi"/>
      <w:color w:val="B35E06" w:themeColor="accent1" w:themeShade="BF"/>
      <w:kern w:val="20"/>
      <w:sz w:val="22"/>
    </w:rPr>
  </w:style>
  <w:style w:type="character" w:customStyle="1" w:styleId="Heading7Char">
    <w:name w:val="Heading 7 Char"/>
    <w:basedOn w:val="DefaultParagraphFont"/>
    <w:link w:val="Heading7"/>
    <w:uiPriority w:val="3"/>
    <w:semiHidden/>
    <w:rsid w:val="00C12475"/>
    <w:rPr>
      <w:rFonts w:asciiTheme="majorHAnsi" w:eastAsiaTheme="majorEastAsia" w:hAnsiTheme="majorHAnsi" w:cstheme="majorBidi"/>
      <w:iCs/>
      <w:color w:val="404040" w:themeColor="text1" w:themeTint="BF"/>
      <w:kern w:val="20"/>
      <w:sz w:val="22"/>
    </w:rPr>
  </w:style>
  <w:style w:type="character" w:customStyle="1" w:styleId="Heading8Char">
    <w:name w:val="Heading 8 Char"/>
    <w:basedOn w:val="DefaultParagraphFont"/>
    <w:link w:val="Heading8"/>
    <w:uiPriority w:val="3"/>
    <w:semiHidden/>
    <w:rsid w:val="00C12475"/>
    <w:rPr>
      <w:rFonts w:asciiTheme="majorHAnsi" w:eastAsiaTheme="majorEastAsia" w:hAnsiTheme="majorHAnsi" w:cstheme="majorBidi"/>
      <w:b/>
      <w:i/>
      <w:color w:val="272727" w:themeColor="text1" w:themeTint="D8"/>
      <w:kern w:val="20"/>
      <w:sz w:val="22"/>
      <w:szCs w:val="21"/>
    </w:rPr>
  </w:style>
  <w:style w:type="character" w:customStyle="1" w:styleId="Heading9Char">
    <w:name w:val="Heading 9 Char"/>
    <w:basedOn w:val="DefaultParagraphFont"/>
    <w:link w:val="Heading9"/>
    <w:uiPriority w:val="3"/>
    <w:semiHidden/>
    <w:rsid w:val="00C12475"/>
    <w:rPr>
      <w:rFonts w:asciiTheme="majorHAnsi" w:eastAsiaTheme="majorEastAsia" w:hAnsiTheme="majorHAnsi" w:cstheme="majorBidi"/>
      <w:i/>
      <w:iCs/>
      <w:color w:val="0D0D0D" w:themeColor="text1" w:themeTint="F2"/>
      <w:kern w:val="20"/>
      <w:sz w:val="22"/>
      <w:szCs w:val="21"/>
    </w:rPr>
  </w:style>
  <w:style w:type="paragraph" w:styleId="Quote">
    <w:name w:val="Quote"/>
    <w:basedOn w:val="Normal"/>
    <w:next w:val="Normal"/>
    <w:link w:val="QuoteChar"/>
    <w:uiPriority w:val="29"/>
    <w:semiHidden/>
    <w:unhideWhenUsed/>
    <w:qFormat/>
    <w:rsid w:val="008E3A9C"/>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E3A9C"/>
    <w:rPr>
      <w:i/>
      <w:iCs/>
      <w:color w:val="404040" w:themeColor="text1" w:themeTint="BF"/>
      <w:kern w:val="20"/>
    </w:rPr>
  </w:style>
  <w:style w:type="paragraph" w:styleId="IntenseQuote">
    <w:name w:val="Intense Quote"/>
    <w:basedOn w:val="Normal"/>
    <w:next w:val="Normal"/>
    <w:link w:val="IntenseQuoteChar"/>
    <w:uiPriority w:val="30"/>
    <w:semiHidden/>
    <w:unhideWhenUsed/>
    <w:qFormat/>
    <w:rsid w:val="008E3A9C"/>
    <w:pPr>
      <w:pBdr>
        <w:top w:val="single" w:sz="4" w:space="10" w:color="F07F09" w:themeColor="accent1"/>
        <w:bottom w:val="single" w:sz="4" w:space="10" w:color="F07F09" w:themeColor="accent1"/>
      </w:pBdr>
      <w:spacing w:before="360" w:after="360"/>
      <w:jc w:val="center"/>
    </w:pPr>
    <w:rPr>
      <w:i/>
      <w:iCs/>
      <w:color w:val="F07F09" w:themeColor="accent1"/>
    </w:rPr>
  </w:style>
  <w:style w:type="character" w:customStyle="1" w:styleId="IntenseQuoteChar">
    <w:name w:val="Intense Quote Char"/>
    <w:basedOn w:val="DefaultParagraphFont"/>
    <w:link w:val="IntenseQuote"/>
    <w:uiPriority w:val="30"/>
    <w:semiHidden/>
    <w:rsid w:val="008E3A9C"/>
    <w:rPr>
      <w:i/>
      <w:iCs/>
      <w:color w:val="F07F09" w:themeColor="accent1"/>
      <w:kern w:val="20"/>
    </w:rPr>
  </w:style>
  <w:style w:type="character" w:styleId="BookTitle">
    <w:name w:val="Book Title"/>
    <w:basedOn w:val="DefaultParagraphFont"/>
    <w:uiPriority w:val="33"/>
    <w:semiHidden/>
    <w:unhideWhenUsed/>
    <w:qFormat/>
    <w:rsid w:val="008E3A9C"/>
    <w:rPr>
      <w:b/>
      <w:bCs/>
      <w:i/>
      <w:iCs/>
      <w:spacing w:val="0"/>
    </w:rPr>
  </w:style>
  <w:style w:type="character" w:styleId="IntenseReference">
    <w:name w:val="Intense Reference"/>
    <w:basedOn w:val="DefaultParagraphFont"/>
    <w:uiPriority w:val="32"/>
    <w:semiHidden/>
    <w:unhideWhenUsed/>
    <w:qFormat/>
    <w:rsid w:val="008E3A9C"/>
    <w:rPr>
      <w:b/>
      <w:bCs/>
      <w:caps w:val="0"/>
      <w:smallCaps/>
      <w:color w:val="F07F09" w:themeColor="accent1"/>
      <w:spacing w:val="0"/>
    </w:rPr>
  </w:style>
  <w:style w:type="table" w:styleId="PlainTable3">
    <w:name w:val="Plain Table 3"/>
    <w:basedOn w:val="TableNormal"/>
    <w:uiPriority w:val="43"/>
    <w:rsid w:val="00A174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6B7FF7"/>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paragraph" w:customStyle="1" w:styleId="ContactInfo">
    <w:name w:val="Contact Info"/>
    <w:basedOn w:val="Normal"/>
    <w:uiPriority w:val="1"/>
    <w:qFormat/>
    <w:rsid w:val="00356BB9"/>
    <w:pPr>
      <w:spacing w:after="0"/>
    </w:pPr>
    <w:rPr>
      <w:b/>
      <w:color w:val="9F2936" w:themeColor="accent2"/>
      <w:sz w:val="24"/>
    </w:rPr>
  </w:style>
  <w:style w:type="character" w:styleId="Hyperlink">
    <w:name w:val="Hyperlink"/>
    <w:basedOn w:val="DefaultParagraphFont"/>
    <w:uiPriority w:val="99"/>
    <w:unhideWhenUsed/>
    <w:rsid w:val="009C59E8"/>
    <w:rPr>
      <w:color w:val="6B9F25" w:themeColor="hyperlink"/>
      <w:u w:val="single"/>
    </w:rPr>
  </w:style>
  <w:style w:type="paragraph" w:styleId="ListParagraph">
    <w:name w:val="List Paragraph"/>
    <w:basedOn w:val="Normal"/>
    <w:uiPriority w:val="34"/>
    <w:qFormat/>
    <w:rsid w:val="00583545"/>
    <w:pPr>
      <w:spacing w:before="0" w:after="0"/>
      <w:ind w:left="720"/>
      <w:contextualSpacing/>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1788">
      <w:bodyDiv w:val="1"/>
      <w:marLeft w:val="0"/>
      <w:marRight w:val="0"/>
      <w:marTop w:val="0"/>
      <w:marBottom w:val="0"/>
      <w:divBdr>
        <w:top w:val="none" w:sz="0" w:space="0" w:color="auto"/>
        <w:left w:val="none" w:sz="0" w:space="0" w:color="auto"/>
        <w:bottom w:val="none" w:sz="0" w:space="0" w:color="auto"/>
        <w:right w:val="none" w:sz="0" w:space="0" w:color="auto"/>
      </w:divBdr>
    </w:div>
    <w:div w:id="1202594030">
      <w:bodyDiv w:val="1"/>
      <w:marLeft w:val="0"/>
      <w:marRight w:val="0"/>
      <w:marTop w:val="0"/>
      <w:marBottom w:val="0"/>
      <w:divBdr>
        <w:top w:val="none" w:sz="0" w:space="0" w:color="auto"/>
        <w:left w:val="none" w:sz="0" w:space="0" w:color="auto"/>
        <w:bottom w:val="none" w:sz="0" w:space="0" w:color="auto"/>
        <w:right w:val="none" w:sz="0" w:space="0" w:color="auto"/>
      </w:divBdr>
    </w:div>
    <w:div w:id="14621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erjr@doj.state.wi.us" TargetMode="External"/><Relationship Id="rId3" Type="http://schemas.openxmlformats.org/officeDocument/2006/relationships/settings" Target="settings.xml"/><Relationship Id="rId7" Type="http://schemas.openxmlformats.org/officeDocument/2006/relationships/hyperlink" Target="mailto:allordmj@doj.state.wi.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ntilesm@doj.state.wi.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2023-06-21T20:03:00Z</dcterms:created>
  <dcterms:modified xsi:type="dcterms:W3CDTF">2023-07-19T20:43:00Z</dcterms:modified>
</cp:coreProperties>
</file>